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727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639"/>
      </w:tblGrid>
      <w:tr w:rsidR="00963743" w:rsidRPr="00963743" w14:paraId="16AA4F89" w14:textId="77777777" w:rsidTr="00E91459">
        <w:trPr>
          <w:trHeight w:val="135"/>
        </w:trPr>
        <w:tc>
          <w:tcPr>
            <w:tcW w:w="3969" w:type="dxa"/>
            <w:tcBorders>
              <w:top w:val="single" w:sz="4" w:space="0" w:color="auto"/>
            </w:tcBorders>
          </w:tcPr>
          <w:p w14:paraId="43529C86" w14:textId="77777777" w:rsidR="00E91459" w:rsidRPr="00963743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bCs/>
                <w:color w:val="171717" w:themeColor="background2" w:themeShade="1A"/>
                <w:vertAlign w:val="subscript"/>
              </w:rPr>
              <w:t xml:space="preserve">Birim Adı </w:t>
            </w:r>
          </w:p>
        </w:tc>
        <w:tc>
          <w:tcPr>
            <w:tcW w:w="6639" w:type="dxa"/>
            <w:tcBorders>
              <w:top w:val="single" w:sz="4" w:space="0" w:color="auto"/>
            </w:tcBorders>
          </w:tcPr>
          <w:p w14:paraId="534B9BF1" w14:textId="77777777" w:rsidR="00E91459" w:rsidRPr="00963743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Öğrenci İşleri Daire Başkanlığı</w:t>
            </w:r>
          </w:p>
        </w:tc>
      </w:tr>
      <w:tr w:rsidR="00963743" w:rsidRPr="00963743" w14:paraId="1548F44B" w14:textId="77777777" w:rsidTr="00E91459">
        <w:trPr>
          <w:trHeight w:val="251"/>
        </w:trPr>
        <w:tc>
          <w:tcPr>
            <w:tcW w:w="3969" w:type="dxa"/>
          </w:tcPr>
          <w:p w14:paraId="1EB9EC39" w14:textId="77777777" w:rsidR="00E91459" w:rsidRPr="00963743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bCs/>
                <w:color w:val="171717" w:themeColor="background2" w:themeShade="1A"/>
                <w:vertAlign w:val="subscript"/>
              </w:rPr>
              <w:t xml:space="preserve">Görevin Bağlı Bulunduğu Kadro Unvanı </w:t>
            </w:r>
          </w:p>
        </w:tc>
        <w:tc>
          <w:tcPr>
            <w:tcW w:w="6639" w:type="dxa"/>
          </w:tcPr>
          <w:p w14:paraId="5DA81C0D" w14:textId="77777777" w:rsidR="00E91459" w:rsidRPr="00963743" w:rsidRDefault="00CD2900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Şube Müdürü</w:t>
            </w:r>
          </w:p>
        </w:tc>
      </w:tr>
      <w:tr w:rsidR="00963743" w:rsidRPr="00963743" w14:paraId="257CBADB" w14:textId="77777777" w:rsidTr="00E91459">
        <w:trPr>
          <w:trHeight w:val="135"/>
        </w:trPr>
        <w:tc>
          <w:tcPr>
            <w:tcW w:w="3969" w:type="dxa"/>
          </w:tcPr>
          <w:p w14:paraId="2AD0A55C" w14:textId="77777777" w:rsidR="00CD2900" w:rsidRPr="00963743" w:rsidRDefault="00CD2900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bCs/>
                <w:color w:val="171717" w:themeColor="background2" w:themeShade="1A"/>
                <w:vertAlign w:val="subscript"/>
              </w:rPr>
              <w:t xml:space="preserve">Görev Unvanı </w:t>
            </w:r>
          </w:p>
        </w:tc>
        <w:tc>
          <w:tcPr>
            <w:tcW w:w="6639" w:type="dxa"/>
          </w:tcPr>
          <w:p w14:paraId="2164722C" w14:textId="77777777" w:rsidR="00CD2900" w:rsidRPr="00963743" w:rsidRDefault="00CD2900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Şube Müdürü</w:t>
            </w:r>
          </w:p>
        </w:tc>
      </w:tr>
      <w:tr w:rsidR="00963743" w:rsidRPr="00963743" w14:paraId="05198582" w14:textId="77777777" w:rsidTr="00132FF3">
        <w:trPr>
          <w:trHeight w:val="338"/>
        </w:trPr>
        <w:tc>
          <w:tcPr>
            <w:tcW w:w="3969" w:type="dxa"/>
          </w:tcPr>
          <w:p w14:paraId="3D19383A" w14:textId="77777777" w:rsidR="00E91459" w:rsidRPr="00963743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bCs/>
                <w:color w:val="171717" w:themeColor="background2" w:themeShade="1A"/>
                <w:vertAlign w:val="subscript"/>
              </w:rPr>
              <w:t xml:space="preserve">Bağlı Bulunduğu Yönetici </w:t>
            </w:r>
          </w:p>
        </w:tc>
        <w:tc>
          <w:tcPr>
            <w:tcW w:w="6639" w:type="dxa"/>
          </w:tcPr>
          <w:p w14:paraId="0B8EECA7" w14:textId="77777777" w:rsidR="00E91459" w:rsidRPr="00963743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Daire Başkanı</w:t>
            </w:r>
          </w:p>
        </w:tc>
      </w:tr>
      <w:tr w:rsidR="00A96C2D" w:rsidRPr="00963743" w14:paraId="1494ABE5" w14:textId="77777777" w:rsidTr="00E91459">
        <w:trPr>
          <w:trHeight w:val="334"/>
        </w:trPr>
        <w:tc>
          <w:tcPr>
            <w:tcW w:w="3969" w:type="dxa"/>
          </w:tcPr>
          <w:p w14:paraId="3F23809A" w14:textId="77777777" w:rsidR="00A96C2D" w:rsidRPr="00963743" w:rsidRDefault="00A96C2D" w:rsidP="00A96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bCs/>
                <w:color w:val="171717" w:themeColor="background2" w:themeShade="1A"/>
                <w:vertAlign w:val="subscript"/>
              </w:rPr>
              <w:t xml:space="preserve">Astlar (Altındaki Bağlı Görev Unvanları) </w:t>
            </w:r>
          </w:p>
        </w:tc>
        <w:tc>
          <w:tcPr>
            <w:tcW w:w="6639" w:type="dxa"/>
          </w:tcPr>
          <w:p w14:paraId="50096C83" w14:textId="78DB93A1" w:rsidR="00A96C2D" w:rsidRPr="00963743" w:rsidRDefault="00A96C2D" w:rsidP="00A96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Şef, </w:t>
            </w:r>
            <w:r w:rsidR="00420799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Tekniker, </w:t>
            </w:r>
            <w:r>
              <w:rPr>
                <w:rFonts w:ascii="Times New Roman" w:hAnsi="Times New Roman" w:cs="Times New Roman"/>
                <w:color w:val="000000"/>
                <w:vertAlign w:val="subscript"/>
              </w:rPr>
              <w:t>Bilgisayar İşletmeni, Yardımcı Hizmetler</w:t>
            </w:r>
          </w:p>
        </w:tc>
      </w:tr>
      <w:tr w:rsidR="00963743" w:rsidRPr="00963743" w14:paraId="48248186" w14:textId="77777777" w:rsidTr="00E91459">
        <w:trPr>
          <w:trHeight w:val="340"/>
        </w:trPr>
        <w:tc>
          <w:tcPr>
            <w:tcW w:w="3969" w:type="dxa"/>
          </w:tcPr>
          <w:p w14:paraId="26931C8D" w14:textId="77777777" w:rsidR="00CD2900" w:rsidRPr="00963743" w:rsidRDefault="00CD2900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bCs/>
                <w:color w:val="171717" w:themeColor="background2" w:themeShade="1A"/>
                <w:vertAlign w:val="subscript"/>
              </w:rPr>
              <w:t xml:space="preserve">Yetki ve Görev Devri Yapılan Personel Kadro Unvanı </w:t>
            </w:r>
          </w:p>
        </w:tc>
        <w:tc>
          <w:tcPr>
            <w:tcW w:w="6639" w:type="dxa"/>
          </w:tcPr>
          <w:p w14:paraId="74BB1513" w14:textId="77777777" w:rsidR="00CD2900" w:rsidRPr="00963743" w:rsidRDefault="00CD2900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Şube Müdürü</w:t>
            </w:r>
          </w:p>
        </w:tc>
      </w:tr>
      <w:tr w:rsidR="00963743" w:rsidRPr="00963743" w14:paraId="22E8C5AE" w14:textId="77777777" w:rsidTr="00E91459">
        <w:trPr>
          <w:trHeight w:val="813"/>
        </w:trPr>
        <w:tc>
          <w:tcPr>
            <w:tcW w:w="3969" w:type="dxa"/>
          </w:tcPr>
          <w:p w14:paraId="3B89C2D4" w14:textId="6E087510" w:rsidR="00E91459" w:rsidRPr="00963743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bCs/>
                <w:color w:val="171717" w:themeColor="background2" w:themeShade="1A"/>
                <w:vertAlign w:val="subscript"/>
              </w:rPr>
              <w:t>Görevin Tanımı</w:t>
            </w:r>
          </w:p>
        </w:tc>
        <w:tc>
          <w:tcPr>
            <w:tcW w:w="6639" w:type="dxa"/>
          </w:tcPr>
          <w:p w14:paraId="49998DFC" w14:textId="4CA34B69" w:rsidR="00E91459" w:rsidRPr="00963743" w:rsidRDefault="00963743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 xml:space="preserve">Üst yönetim tarafından belirlenen amaç ve ilkelere uygun olarak; Öğrenci İşleri Daire Başkanlığının </w:t>
            </w:r>
            <w:proofErr w:type="gramStart"/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vizyonu</w:t>
            </w:r>
            <w:proofErr w:type="gramEnd"/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 xml:space="preserve"> ve misyonu doğrultusunda mali kaynakların yönetimi ile ilgili gerekli tüm faaliyetlerin etkinlik ve verimlilik ilkelerine uygun olarak yürütülmesi amacıyla çalışmalar yapmak, planlamak, yönlendirmek, koordine etmek ve denetlemek.</w:t>
            </w:r>
          </w:p>
        </w:tc>
      </w:tr>
      <w:tr w:rsidR="00963743" w:rsidRPr="00963743" w14:paraId="07EB0CD7" w14:textId="77777777" w:rsidTr="00420799">
        <w:trPr>
          <w:trHeight w:val="8772"/>
        </w:trPr>
        <w:tc>
          <w:tcPr>
            <w:tcW w:w="3969" w:type="dxa"/>
          </w:tcPr>
          <w:p w14:paraId="56F4627A" w14:textId="77777777" w:rsidR="00CD2900" w:rsidRPr="00963743" w:rsidRDefault="00CD2900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bCs/>
                <w:color w:val="171717" w:themeColor="background2" w:themeShade="1A"/>
                <w:vertAlign w:val="subscript"/>
              </w:rPr>
              <w:t xml:space="preserve">Temel Görev ve Sorumluluklar </w:t>
            </w:r>
          </w:p>
        </w:tc>
        <w:tc>
          <w:tcPr>
            <w:tcW w:w="6639" w:type="dxa"/>
          </w:tcPr>
          <w:p w14:paraId="124A1D38" w14:textId="4EF7AF6F" w:rsidR="00777DC5" w:rsidRPr="00A96C2D" w:rsidRDefault="00A96C2D" w:rsidP="00A96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1-</w:t>
            </w:r>
            <w:r w:rsidR="00777DC5" w:rsidRPr="00A96C2D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 xml:space="preserve">Akademik birimlerin eğitim öğretimle ilgili tüm iş ve işlemlerini takip ve kontrol etmek </w:t>
            </w:r>
          </w:p>
          <w:p w14:paraId="6455E651" w14:textId="0CD363C5" w:rsidR="00CD2900" w:rsidRPr="00963743" w:rsidRDefault="00777DC5" w:rsidP="00777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2-</w:t>
            </w:r>
            <w:r w:rsidR="00CD2900"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 xml:space="preserve"> </w:t>
            </w:r>
            <w:r w:rsidR="00645BAD"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Yeni Kayıt, Ek Kontenjan, Dikey Geçiş, Yatay Geçiş ve YÖS ile gelen öğrencilerin kayıt işlemlerinin ve kontrolünün yapılmasının sağlamak,</w:t>
            </w:r>
            <w:bookmarkStart w:id="0" w:name="_GoBack"/>
            <w:bookmarkEnd w:id="0"/>
          </w:p>
          <w:p w14:paraId="4E718F4F" w14:textId="77777777" w:rsidR="00CD2900" w:rsidRPr="00963743" w:rsidRDefault="00CD2900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3- Yatay geçiş kontenjan ve koşullarının belirlenmesini, ilan edilmesini, başvuruların alınmasını, sonuçların ilan edilmesini ve kayıtların yapılmasını sağlamak.</w:t>
            </w:r>
          </w:p>
          <w:p w14:paraId="10E0F849" w14:textId="47CB8407" w:rsidR="00777DC5" w:rsidRPr="00963743" w:rsidRDefault="00CD2900" w:rsidP="00777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4-</w:t>
            </w:r>
            <w:r w:rsidR="00777DC5"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Çift anadal kontenjanlarının belirlenmesini, ilan edilmesini, başvuruların alınmasını ve ilgili birimlere gönderilmesini sağlamak.</w:t>
            </w:r>
          </w:p>
          <w:p w14:paraId="3F626F5C" w14:textId="44A82C14" w:rsidR="00CD2900" w:rsidRPr="00963743" w:rsidRDefault="00777DC5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5-Not girişi ve not düzeltmelerine ilişkin ilgili birimlerden gönderilen Yönetim Kurulu Kararlarının otomasyon sistemine girişinin yapılmasını sağlamak,</w:t>
            </w:r>
          </w:p>
          <w:p w14:paraId="2A7FAB03" w14:textId="7D8A4136" w:rsidR="00CD2900" w:rsidRPr="00963743" w:rsidRDefault="00CD2900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6-</w:t>
            </w:r>
            <w:r w:rsidR="00777DC5"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. Mezuniyet ile ilgili iş ve işlemleri yürütülmesini koordine etmek,</w:t>
            </w:r>
          </w:p>
          <w:p w14:paraId="7ED059CB" w14:textId="390140DD" w:rsidR="00CD2900" w:rsidRPr="00963743" w:rsidRDefault="00777DC5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7</w:t>
            </w:r>
            <w:r w:rsidR="00CD2900"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- Akademik takvim düzenlenmesi işlemlerini yapmak.</w:t>
            </w:r>
          </w:p>
          <w:p w14:paraId="1A11BA6F" w14:textId="3DAE032D" w:rsidR="00CD2900" w:rsidRPr="00963743" w:rsidRDefault="00CD2900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10- Üniversitemiz bünyesindeki akademik programlara ait öğretim planlarının Senatoda görüşülmek üzere Genel Sekreterliğe gönderilmesini ve kabul edilen öğretim planlarının otomasyon sistemine girişinin yapılmasını sağlamak.</w:t>
            </w:r>
          </w:p>
          <w:p w14:paraId="3498FBBF" w14:textId="0636B236" w:rsidR="00777DC5" w:rsidRPr="00963743" w:rsidRDefault="00777DC5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11-</w:t>
            </w:r>
            <w:r w:rsidRPr="00963743">
              <w:rPr>
                <w:color w:val="171717" w:themeColor="background2" w:themeShade="1A"/>
              </w:rPr>
              <w:t xml:space="preserve"> </w:t>
            </w: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Bağlı bulunulan üst makamlara sunulmak üzere hazırlanan yazıları kendisine verilen yetki sınırları içinde incelemek, paraflamak veya imzalamak,</w:t>
            </w:r>
          </w:p>
          <w:p w14:paraId="3529E734" w14:textId="734F2E34" w:rsidR="00CD2900" w:rsidRPr="00963743" w:rsidRDefault="00CD2900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1</w:t>
            </w:r>
            <w:r w:rsidR="00777DC5"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2</w:t>
            </w:r>
            <w:r w:rsidR="00420799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 xml:space="preserve">- </w:t>
            </w: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Yabancı uyruklu öğrenci kontenjanlarının ve koşullarının belirlenmesini, ilan edilmesini, başvuruların alınmasını, ilgili komisyonlara gönderilmesini, sonuçların ilan edilmesini, kayıtların yapılmasını ve kayıt olan öğrenci listelerinin hazırlanmasını sağlamak.</w:t>
            </w:r>
          </w:p>
          <w:p w14:paraId="2397762E" w14:textId="3FAC6A64" w:rsidR="00CD2900" w:rsidRPr="00963743" w:rsidRDefault="00CD2900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1</w:t>
            </w:r>
            <w:r w:rsidR="002B0A08"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3</w:t>
            </w: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-</w:t>
            </w:r>
            <w:r w:rsidR="00420799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 xml:space="preserve"> </w:t>
            </w:r>
            <w:r w:rsidR="002B0A08"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Üniversitemiz Akademik Birimlerine alınacak öğrencilere ait kontenjanların belirlenmesi için gerekli iş sürecini takip etmek ve koordinasyonu sağlamak,</w:t>
            </w:r>
          </w:p>
          <w:p w14:paraId="049D96B6" w14:textId="53532A84" w:rsidR="00CD2900" w:rsidRPr="00963743" w:rsidRDefault="002B0A08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14</w:t>
            </w:r>
            <w:r w:rsidR="00CD2900"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- Yeni bölüm, program, anabilim dalı açılması ile ilgili iş ve işlemlerin yapılmasını sağlamak.</w:t>
            </w:r>
          </w:p>
          <w:p w14:paraId="70FE4A02" w14:textId="547A4E93" w:rsidR="00420799" w:rsidRPr="00963743" w:rsidRDefault="002B0A08" w:rsidP="00CD2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15</w:t>
            </w:r>
            <w:r w:rsidR="00CD2900"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 xml:space="preserve">- </w:t>
            </w:r>
            <w:r w:rsidR="00420799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 xml:space="preserve"> </w:t>
            </w:r>
            <w:r w:rsidR="00CD2900"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Kurum içi ve kurum dışı gerekli yazışmaların yapılmasını sağlamak.</w:t>
            </w:r>
          </w:p>
          <w:p w14:paraId="192C640C" w14:textId="666A19F2" w:rsidR="00420799" w:rsidRPr="00EE3CA7" w:rsidRDefault="00420799" w:rsidP="00420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EE3CA7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vertAlign w:val="subscript"/>
              </w:rPr>
              <w:t>6</w:t>
            </w:r>
            <w:r w:rsidRPr="00EE3CA7">
              <w:rPr>
                <w:rFonts w:ascii="Times New Roman" w:hAnsi="Times New Roman" w:cs="Times New Roman"/>
                <w:color w:val="000000"/>
                <w:vertAlign w:val="subscript"/>
              </w:rPr>
              <w:t>-  Başkanlık bünyesinde taşınır işlemleri ilgili işlerin yürütülmesini sağlamak.</w:t>
            </w:r>
          </w:p>
          <w:p w14:paraId="5706D1D0" w14:textId="306A2A3A" w:rsidR="00420799" w:rsidRPr="00EE3CA7" w:rsidRDefault="00420799" w:rsidP="00420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17</w:t>
            </w:r>
            <w:r w:rsidRPr="00EE3CA7">
              <w:rPr>
                <w:rFonts w:ascii="Times New Roman" w:hAnsi="Times New Roman" w:cs="Times New Roman"/>
                <w:color w:val="000000"/>
                <w:vertAlign w:val="subscript"/>
              </w:rPr>
              <w:t>- Diploma ve diploma eklerinin düzenlenmesi işlemlerinin yapılmasını sağlamak.</w:t>
            </w:r>
          </w:p>
          <w:p w14:paraId="3BABEDE8" w14:textId="5E0721E3" w:rsidR="00420799" w:rsidRPr="00EE3CA7" w:rsidRDefault="00420799" w:rsidP="00420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18</w:t>
            </w:r>
            <w:r w:rsidRPr="00EE3CA7">
              <w:rPr>
                <w:rFonts w:ascii="Times New Roman" w:hAnsi="Times New Roman" w:cs="Times New Roman"/>
                <w:color w:val="000000"/>
                <w:vertAlign w:val="subscript"/>
              </w:rPr>
              <w:t>- Öğrenci katkı payı ve öğrenim ücretlerinin banka sistemine tanımlanması ve öğrencilerin ilgili tarihlerde bu ücretleri yatırması ile ilgili iş ve işlemlerin yürütülmesini sağlamak</w:t>
            </w:r>
          </w:p>
          <w:p w14:paraId="4DD2B2D9" w14:textId="25AD1526" w:rsidR="00420799" w:rsidRPr="00EE3CA7" w:rsidRDefault="00420799" w:rsidP="00420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19</w:t>
            </w:r>
            <w:r w:rsidRPr="00EE3CA7">
              <w:rPr>
                <w:rFonts w:ascii="Times New Roman" w:hAnsi="Times New Roman" w:cs="Times New Roman"/>
                <w:color w:val="000000"/>
                <w:vertAlign w:val="subscript"/>
              </w:rPr>
              <w:t>- Başarı oranları ile ilgili işlemlerin yapılmasını sağlamak.</w:t>
            </w:r>
          </w:p>
          <w:p w14:paraId="2724194F" w14:textId="369D6DA3" w:rsidR="00420799" w:rsidRPr="00EE3CA7" w:rsidRDefault="00420799" w:rsidP="00420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20</w:t>
            </w:r>
            <w:r w:rsidRPr="00EE3CA7">
              <w:rPr>
                <w:rFonts w:ascii="Times New Roman" w:hAnsi="Times New Roman" w:cs="Times New Roman"/>
                <w:color w:val="000000"/>
                <w:vertAlign w:val="subscript"/>
              </w:rPr>
              <w:t>- Öğrenci kimliklerinin hazırlanmasını ve ilgili birimlere dağıtımını sağlamak.</w:t>
            </w:r>
          </w:p>
          <w:p w14:paraId="2EEBA372" w14:textId="6BBEE735" w:rsidR="00420799" w:rsidRPr="00EE3CA7" w:rsidRDefault="00420799" w:rsidP="00420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21</w:t>
            </w:r>
            <w:r w:rsidRPr="00EE3CA7">
              <w:rPr>
                <w:rFonts w:ascii="Times New Roman" w:hAnsi="Times New Roman" w:cs="Times New Roman"/>
                <w:color w:val="000000"/>
                <w:vertAlign w:val="subscript"/>
              </w:rPr>
              <w:t>- İlgili birimlerden gönderilen kayıt silme, kayıt dondurma, disiplin cezası, mezuniyet vb. Yönetim Kurulu Kararlarının otomasyon sistemine girişinin yapılmasını sağlamak</w:t>
            </w:r>
          </w:p>
          <w:p w14:paraId="374D4CBF" w14:textId="4B7462FE" w:rsidR="00420799" w:rsidRDefault="00420799" w:rsidP="00420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22</w:t>
            </w:r>
            <w:r w:rsidRPr="00EE3CA7">
              <w:rPr>
                <w:rFonts w:ascii="Times New Roman" w:hAnsi="Times New Roman" w:cs="Times New Roman"/>
                <w:color w:val="000000"/>
                <w:vertAlign w:val="subscript"/>
              </w:rPr>
              <w:t>- Disiplin cezası alan öğrencilere ait işlemlerin yapılmasını sağlamak</w:t>
            </w:r>
          </w:p>
          <w:p w14:paraId="530896CF" w14:textId="54437B7E" w:rsidR="00420799" w:rsidRPr="00963743" w:rsidRDefault="00420799" w:rsidP="00420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23</w:t>
            </w: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 xml:space="preserve">- Bağlı olduğu </w:t>
            </w:r>
            <w:proofErr w:type="gramStart"/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proses</w:t>
            </w:r>
            <w:proofErr w:type="gramEnd"/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 xml:space="preserve"> ile üst yönetici/yöneticileri tarafından verilen diğer işleri ve işlemleri yapmak.</w:t>
            </w:r>
          </w:p>
          <w:p w14:paraId="5A1C3A07" w14:textId="0D502C6C" w:rsidR="00420799" w:rsidRPr="00420799" w:rsidRDefault="00420799" w:rsidP="00420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24</w:t>
            </w: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-</w:t>
            </w:r>
            <w:r>
              <w:rPr>
                <w:color w:val="171717" w:themeColor="background2" w:themeShade="1A"/>
              </w:rPr>
              <w:t xml:space="preserve"> </w:t>
            </w: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Daire Başkanı tarafından verilen diğer görevleri yerine getirmek.</w:t>
            </w:r>
          </w:p>
        </w:tc>
      </w:tr>
      <w:tr w:rsidR="00963743" w:rsidRPr="00963743" w14:paraId="1FDE3072" w14:textId="77777777" w:rsidTr="00132FF3">
        <w:trPr>
          <w:trHeight w:val="559"/>
        </w:trPr>
        <w:tc>
          <w:tcPr>
            <w:tcW w:w="3969" w:type="dxa"/>
          </w:tcPr>
          <w:p w14:paraId="5F5855F7" w14:textId="77777777" w:rsidR="00E91459" w:rsidRPr="00963743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bCs/>
                <w:color w:val="171717" w:themeColor="background2" w:themeShade="1A"/>
                <w:sz w:val="22"/>
                <w:szCs w:val="22"/>
                <w:vertAlign w:val="subscript"/>
              </w:rPr>
              <w:t xml:space="preserve">Yetkiler </w:t>
            </w:r>
          </w:p>
        </w:tc>
        <w:tc>
          <w:tcPr>
            <w:tcW w:w="6639" w:type="dxa"/>
          </w:tcPr>
          <w:p w14:paraId="6A6B0F21" w14:textId="77777777" w:rsidR="00777DC5" w:rsidRPr="00963743" w:rsidRDefault="00777DC5" w:rsidP="00F21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 xml:space="preserve">1) Daire Başkanlığına vekâlet etmek, </w:t>
            </w:r>
          </w:p>
          <w:p w14:paraId="64F82CDE" w14:textId="18AE1BBE" w:rsidR="00E91459" w:rsidRPr="00963743" w:rsidRDefault="00777DC5" w:rsidP="00F21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vertAlign w:val="subscript"/>
              </w:rPr>
              <w:t>2) Birim temel faaliyetlerinin yasal mevzuat çerçevesinde yürütülmesini temin etmek.</w:t>
            </w:r>
          </w:p>
        </w:tc>
      </w:tr>
      <w:tr w:rsidR="00963743" w:rsidRPr="00963743" w14:paraId="7BBA1BB5" w14:textId="77777777" w:rsidTr="00E91459">
        <w:trPr>
          <w:trHeight w:val="577"/>
        </w:trPr>
        <w:tc>
          <w:tcPr>
            <w:tcW w:w="3969" w:type="dxa"/>
          </w:tcPr>
          <w:p w14:paraId="29F53931" w14:textId="77777777" w:rsidR="00E91459" w:rsidRPr="00963743" w:rsidRDefault="00E91459" w:rsidP="00E91459">
            <w:pPr>
              <w:pStyle w:val="Default"/>
              <w:jc w:val="both"/>
              <w:rPr>
                <w:color w:val="171717" w:themeColor="background2" w:themeShade="1A"/>
                <w:sz w:val="22"/>
                <w:szCs w:val="22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bCs/>
                <w:color w:val="171717" w:themeColor="background2" w:themeShade="1A"/>
                <w:sz w:val="22"/>
                <w:szCs w:val="22"/>
                <w:vertAlign w:val="subscript"/>
              </w:rPr>
              <w:t xml:space="preserve">Görev İçin Gerekli Beceri ve Yetenekler </w:t>
            </w:r>
          </w:p>
        </w:tc>
        <w:tc>
          <w:tcPr>
            <w:tcW w:w="6639" w:type="dxa"/>
          </w:tcPr>
          <w:p w14:paraId="3F9FD3FC" w14:textId="77777777" w:rsidR="00E91459" w:rsidRPr="00963743" w:rsidRDefault="00E91459" w:rsidP="00E91459">
            <w:pPr>
              <w:pStyle w:val="Default"/>
              <w:jc w:val="both"/>
              <w:rPr>
                <w:color w:val="171717" w:themeColor="background2" w:themeShade="1A"/>
                <w:sz w:val="22"/>
                <w:szCs w:val="22"/>
                <w:vertAlign w:val="subscript"/>
              </w:rPr>
            </w:pPr>
            <w:r w:rsidRPr="00963743">
              <w:rPr>
                <w:color w:val="171717" w:themeColor="background2" w:themeShade="1A"/>
                <w:sz w:val="22"/>
                <w:szCs w:val="22"/>
                <w:vertAlign w:val="subscript"/>
              </w:rPr>
              <w:t>1- Ofis programları ileri düzeyde kullanabilme</w:t>
            </w:r>
          </w:p>
          <w:p w14:paraId="71943373" w14:textId="77777777" w:rsidR="00E91459" w:rsidRPr="00963743" w:rsidRDefault="00E91459" w:rsidP="00E91459">
            <w:pPr>
              <w:pStyle w:val="Default"/>
              <w:jc w:val="both"/>
              <w:rPr>
                <w:color w:val="171717" w:themeColor="background2" w:themeShade="1A"/>
                <w:sz w:val="22"/>
                <w:szCs w:val="22"/>
                <w:vertAlign w:val="subscript"/>
              </w:rPr>
            </w:pPr>
            <w:r w:rsidRPr="00963743">
              <w:rPr>
                <w:color w:val="171717" w:themeColor="background2" w:themeShade="1A"/>
                <w:sz w:val="22"/>
                <w:szCs w:val="22"/>
                <w:vertAlign w:val="subscript"/>
              </w:rPr>
              <w:t>2- Pratik bilgileri uygulamaya aktarabilme</w:t>
            </w:r>
          </w:p>
          <w:p w14:paraId="5D86B8DD" w14:textId="77777777" w:rsidR="00E91459" w:rsidRPr="00963743" w:rsidRDefault="00E91459" w:rsidP="00E91459">
            <w:pPr>
              <w:pStyle w:val="Default"/>
              <w:jc w:val="both"/>
              <w:rPr>
                <w:color w:val="171717" w:themeColor="background2" w:themeShade="1A"/>
                <w:sz w:val="22"/>
                <w:szCs w:val="22"/>
                <w:vertAlign w:val="subscript"/>
              </w:rPr>
            </w:pPr>
            <w:r w:rsidRPr="00963743">
              <w:rPr>
                <w:color w:val="171717" w:themeColor="background2" w:themeShade="1A"/>
                <w:sz w:val="22"/>
                <w:szCs w:val="22"/>
                <w:vertAlign w:val="subscript"/>
              </w:rPr>
              <w:t>3- Hoşgörülü ve sabırlı olma</w:t>
            </w:r>
          </w:p>
          <w:p w14:paraId="146EDA51" w14:textId="77777777" w:rsidR="00E91459" w:rsidRPr="00963743" w:rsidRDefault="005336E1" w:rsidP="00E91459">
            <w:pPr>
              <w:pStyle w:val="Default"/>
              <w:jc w:val="both"/>
              <w:rPr>
                <w:color w:val="171717" w:themeColor="background2" w:themeShade="1A"/>
                <w:sz w:val="22"/>
                <w:szCs w:val="22"/>
                <w:vertAlign w:val="subscript"/>
              </w:rPr>
            </w:pPr>
            <w:r w:rsidRPr="00963743">
              <w:rPr>
                <w:color w:val="171717" w:themeColor="background2" w:themeShade="1A"/>
                <w:sz w:val="22"/>
                <w:szCs w:val="22"/>
                <w:vertAlign w:val="subscript"/>
              </w:rPr>
              <w:t>4- Kurumsal</w:t>
            </w:r>
            <w:r w:rsidR="00E91459" w:rsidRPr="00963743">
              <w:rPr>
                <w:color w:val="171717" w:themeColor="background2" w:themeShade="1A"/>
                <w:sz w:val="22"/>
                <w:szCs w:val="22"/>
                <w:vertAlign w:val="subscript"/>
              </w:rPr>
              <w:t xml:space="preserve"> ve Etik prensiplere bağlılık</w:t>
            </w:r>
          </w:p>
        </w:tc>
      </w:tr>
      <w:tr w:rsidR="00963743" w:rsidRPr="00963743" w14:paraId="7DFE62E0" w14:textId="77777777" w:rsidTr="00132FF3">
        <w:trPr>
          <w:trHeight w:val="328"/>
        </w:trPr>
        <w:tc>
          <w:tcPr>
            <w:tcW w:w="3969" w:type="dxa"/>
          </w:tcPr>
          <w:p w14:paraId="2DC5D721" w14:textId="77777777" w:rsidR="00E91459" w:rsidRPr="00963743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bCs/>
                <w:color w:val="171717" w:themeColor="background2" w:themeShade="1A"/>
                <w:sz w:val="22"/>
                <w:szCs w:val="22"/>
                <w:vertAlign w:val="subscript"/>
              </w:rPr>
              <w:t xml:space="preserve">Görevin Diğer Görevlerle İlişkisi </w:t>
            </w:r>
          </w:p>
        </w:tc>
        <w:tc>
          <w:tcPr>
            <w:tcW w:w="6639" w:type="dxa"/>
          </w:tcPr>
          <w:p w14:paraId="19DAE7E1" w14:textId="77777777" w:rsidR="00E91459" w:rsidRPr="00963743" w:rsidRDefault="00E91459" w:rsidP="00E91459">
            <w:pPr>
              <w:pStyle w:val="Default"/>
              <w:jc w:val="both"/>
              <w:rPr>
                <w:color w:val="171717" w:themeColor="background2" w:themeShade="1A"/>
                <w:sz w:val="22"/>
                <w:szCs w:val="22"/>
                <w:vertAlign w:val="subscript"/>
              </w:rPr>
            </w:pPr>
          </w:p>
        </w:tc>
      </w:tr>
      <w:tr w:rsidR="00963743" w:rsidRPr="00963743" w14:paraId="4A45BEE0" w14:textId="77777777" w:rsidTr="002B0A08">
        <w:trPr>
          <w:trHeight w:val="1680"/>
        </w:trPr>
        <w:tc>
          <w:tcPr>
            <w:tcW w:w="3969" w:type="dxa"/>
          </w:tcPr>
          <w:p w14:paraId="232417CC" w14:textId="77777777" w:rsidR="00E91459" w:rsidRPr="00963743" w:rsidRDefault="00E91459" w:rsidP="00E91459">
            <w:pPr>
              <w:pStyle w:val="Default"/>
              <w:jc w:val="both"/>
              <w:rPr>
                <w:color w:val="171717" w:themeColor="background2" w:themeShade="1A"/>
                <w:sz w:val="22"/>
                <w:szCs w:val="22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bCs/>
                <w:color w:val="171717" w:themeColor="background2" w:themeShade="1A"/>
                <w:sz w:val="22"/>
                <w:szCs w:val="22"/>
                <w:vertAlign w:val="subscript"/>
              </w:rPr>
              <w:t xml:space="preserve">Yasal Dayanaklar </w:t>
            </w:r>
          </w:p>
        </w:tc>
        <w:tc>
          <w:tcPr>
            <w:tcW w:w="6639" w:type="dxa"/>
          </w:tcPr>
          <w:p w14:paraId="3AB1C0A8" w14:textId="77777777" w:rsidR="00E91459" w:rsidRPr="00963743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  <w:vertAlign w:val="subscript"/>
              </w:rPr>
              <w:t>2547 Sayılı Yükseköğretim Kanunu</w:t>
            </w:r>
          </w:p>
          <w:p w14:paraId="5038B4D0" w14:textId="77777777" w:rsidR="00E91459" w:rsidRPr="00963743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  <w:vertAlign w:val="subscript"/>
              </w:rPr>
              <w:t>657 Sayılı Devlet Memurları Kanunu</w:t>
            </w:r>
          </w:p>
          <w:p w14:paraId="2A7D69DA" w14:textId="77777777" w:rsidR="00E91459" w:rsidRPr="00963743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  <w:vertAlign w:val="subscript"/>
              </w:rPr>
              <w:t>4857 Sayılı İş Kanunu</w:t>
            </w:r>
          </w:p>
          <w:p w14:paraId="2852A551" w14:textId="77777777" w:rsidR="00E91459" w:rsidRPr="00963743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  <w:vertAlign w:val="subscript"/>
              </w:rPr>
              <w:t>696 Sayılı KHK</w:t>
            </w:r>
          </w:p>
          <w:p w14:paraId="059CD518" w14:textId="77777777" w:rsidR="00E91459" w:rsidRPr="00963743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  <w:vertAlign w:val="subscript"/>
              </w:rPr>
              <w:t>6698 Sayılı Kişisel Verilerin Korunması Kanunu</w:t>
            </w:r>
          </w:p>
          <w:p w14:paraId="6CA7A3D3" w14:textId="77777777" w:rsidR="00E91459" w:rsidRPr="00963743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  <w:vertAlign w:val="subscript"/>
              </w:rPr>
              <w:t>124 Sayılı Yüksek Öğretim Üst Kuruluşları ile Yüksek Öğretim Kurumlarının İdari Teşkilatı Hakkında KHK</w:t>
            </w:r>
          </w:p>
          <w:p w14:paraId="7644D900" w14:textId="77777777" w:rsidR="00E91459" w:rsidRPr="00963743" w:rsidRDefault="00BB2307" w:rsidP="00E91459">
            <w:pPr>
              <w:pStyle w:val="Default"/>
              <w:jc w:val="both"/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  <w:vertAlign w:val="subscript"/>
              </w:rPr>
            </w:pPr>
            <w:r w:rsidRPr="00963743"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  <w:vertAlign w:val="subscript"/>
              </w:rPr>
              <w:t>Üniversitelerde Akademik T</w:t>
            </w:r>
            <w:r w:rsidR="00E91459" w:rsidRPr="00963743"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  <w:vertAlign w:val="subscript"/>
              </w:rPr>
              <w:t>eşkilat Yönetmeliği</w:t>
            </w:r>
          </w:p>
        </w:tc>
      </w:tr>
    </w:tbl>
    <w:p w14:paraId="6AF14205" w14:textId="77777777" w:rsidR="007A4123" w:rsidRPr="00963743" w:rsidRDefault="00E91459" w:rsidP="005336E1">
      <w:pPr>
        <w:jc w:val="center"/>
        <w:rPr>
          <w:rFonts w:ascii="Times New Roman" w:hAnsi="Times New Roman" w:cs="Times New Roman"/>
          <w:color w:val="171717" w:themeColor="background2" w:themeShade="1A"/>
        </w:rPr>
      </w:pPr>
      <w:r w:rsidRPr="00963743">
        <w:rPr>
          <w:rFonts w:ascii="Times New Roman" w:hAnsi="Times New Roman" w:cs="Times New Roman"/>
          <w:color w:val="171717" w:themeColor="background2" w:themeShade="1A"/>
        </w:rPr>
        <w:t>Öğrenci İşleri Daire Başkanlığı Personel Görev Tanımları</w:t>
      </w:r>
    </w:p>
    <w:sectPr w:rsidR="007A4123" w:rsidRPr="00963743" w:rsidSect="00E91459">
      <w:pgSz w:w="11906" w:h="16838"/>
      <w:pgMar w:top="284" w:right="720" w:bottom="284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65634" w14:textId="77777777" w:rsidR="00C545EA" w:rsidRDefault="00C545EA" w:rsidP="0044686B">
      <w:pPr>
        <w:spacing w:after="0" w:line="240" w:lineRule="auto"/>
      </w:pPr>
      <w:r>
        <w:separator/>
      </w:r>
    </w:p>
  </w:endnote>
  <w:endnote w:type="continuationSeparator" w:id="0">
    <w:p w14:paraId="1649774C" w14:textId="77777777" w:rsidR="00C545EA" w:rsidRDefault="00C545EA" w:rsidP="0044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919C5" w14:textId="77777777" w:rsidR="00C545EA" w:rsidRDefault="00C545EA" w:rsidP="0044686B">
      <w:pPr>
        <w:spacing w:after="0" w:line="240" w:lineRule="auto"/>
      </w:pPr>
      <w:r>
        <w:separator/>
      </w:r>
    </w:p>
  </w:footnote>
  <w:footnote w:type="continuationSeparator" w:id="0">
    <w:p w14:paraId="0F5CD40C" w14:textId="77777777" w:rsidR="00C545EA" w:rsidRDefault="00C545EA" w:rsidP="00446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6483B"/>
    <w:multiLevelType w:val="hybridMultilevel"/>
    <w:tmpl w:val="1C2C152C"/>
    <w:lvl w:ilvl="0" w:tplc="AA0AB4C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3016C"/>
    <w:multiLevelType w:val="hybridMultilevel"/>
    <w:tmpl w:val="4F389E88"/>
    <w:lvl w:ilvl="0" w:tplc="44ACC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9506E"/>
    <w:multiLevelType w:val="hybridMultilevel"/>
    <w:tmpl w:val="EA4E57FA"/>
    <w:lvl w:ilvl="0" w:tplc="F7C49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63CEE"/>
    <w:multiLevelType w:val="hybridMultilevel"/>
    <w:tmpl w:val="970ACC5C"/>
    <w:lvl w:ilvl="0" w:tplc="D1BA4E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11"/>
    <w:rsid w:val="00031211"/>
    <w:rsid w:val="000B2278"/>
    <w:rsid w:val="00132FF3"/>
    <w:rsid w:val="001C0EB3"/>
    <w:rsid w:val="0026064C"/>
    <w:rsid w:val="002719AB"/>
    <w:rsid w:val="00277C90"/>
    <w:rsid w:val="002A25AF"/>
    <w:rsid w:val="002B0A08"/>
    <w:rsid w:val="003704F4"/>
    <w:rsid w:val="003F63E0"/>
    <w:rsid w:val="00420799"/>
    <w:rsid w:val="0044686B"/>
    <w:rsid w:val="004C2CE8"/>
    <w:rsid w:val="005336E1"/>
    <w:rsid w:val="00645BAD"/>
    <w:rsid w:val="00777DC5"/>
    <w:rsid w:val="007822FA"/>
    <w:rsid w:val="00797C87"/>
    <w:rsid w:val="007A4123"/>
    <w:rsid w:val="008E000D"/>
    <w:rsid w:val="008E501F"/>
    <w:rsid w:val="00952BCB"/>
    <w:rsid w:val="00963743"/>
    <w:rsid w:val="00A96C2D"/>
    <w:rsid w:val="00AF1BAD"/>
    <w:rsid w:val="00B35EFF"/>
    <w:rsid w:val="00B71762"/>
    <w:rsid w:val="00BB2307"/>
    <w:rsid w:val="00C545EA"/>
    <w:rsid w:val="00CD2900"/>
    <w:rsid w:val="00D03274"/>
    <w:rsid w:val="00D822D4"/>
    <w:rsid w:val="00DE1953"/>
    <w:rsid w:val="00E878DB"/>
    <w:rsid w:val="00E91459"/>
    <w:rsid w:val="00F173CA"/>
    <w:rsid w:val="00F21BED"/>
    <w:rsid w:val="00F60D51"/>
    <w:rsid w:val="00FA60F6"/>
    <w:rsid w:val="00FE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F5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86B"/>
  </w:style>
  <w:style w:type="paragraph" w:styleId="ListeParagraf">
    <w:name w:val="List Paragraph"/>
    <w:basedOn w:val="Normal"/>
    <w:uiPriority w:val="34"/>
    <w:qFormat/>
    <w:rsid w:val="00277C9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86B"/>
  </w:style>
  <w:style w:type="paragraph" w:styleId="ListeParagraf">
    <w:name w:val="List Paragraph"/>
    <w:basedOn w:val="Normal"/>
    <w:uiPriority w:val="34"/>
    <w:qFormat/>
    <w:rsid w:val="00277C9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öğrenci işleri</cp:lastModifiedBy>
  <cp:revision>17</cp:revision>
  <cp:lastPrinted>2023-11-15T12:03:00Z</cp:lastPrinted>
  <dcterms:created xsi:type="dcterms:W3CDTF">2023-10-27T08:09:00Z</dcterms:created>
  <dcterms:modified xsi:type="dcterms:W3CDTF">2023-11-21T10:43:00Z</dcterms:modified>
</cp:coreProperties>
</file>