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58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9589"/>
      </w:tblGrid>
      <w:tr w:rsidR="00BA442E" w:rsidRPr="00BC1FA0" w:rsidTr="00376991">
        <w:trPr>
          <w:trHeight w:val="8337"/>
        </w:trPr>
        <w:tc>
          <w:tcPr>
            <w:tcW w:w="9589" w:type="dxa"/>
          </w:tcPr>
          <w:p w:rsidR="00BA442E" w:rsidRPr="00BC1FA0" w:rsidRDefault="00BA442E" w:rsidP="00BA442E"/>
          <w:p w:rsidR="00371345" w:rsidRDefault="00376991" w:rsidP="00376991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8D42B7">
              <w:rPr>
                <w:b/>
                <w:sz w:val="22"/>
                <w:szCs w:val="22"/>
              </w:rPr>
              <w:t>MÜDÜRLER KURULU</w:t>
            </w:r>
            <w:r>
              <w:rPr>
                <w:b/>
                <w:sz w:val="22"/>
                <w:szCs w:val="22"/>
              </w:rPr>
              <w:t>NUN GÖREVLERİ</w:t>
            </w:r>
          </w:p>
          <w:p w:rsidR="00376991" w:rsidRPr="008D42B7" w:rsidRDefault="00376991" w:rsidP="00376991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  <w:p w:rsidR="00371345" w:rsidRPr="00BC1FA0" w:rsidRDefault="00371345" w:rsidP="00376991">
            <w:pPr>
              <w:pStyle w:val="Default"/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C1FA0">
              <w:rPr>
                <w:sz w:val="22"/>
                <w:szCs w:val="22"/>
              </w:rPr>
              <w:t>Meslek Yüksekokulları Müdürler Kurulu, Koordinatör başkanlığında Meslek Yüksekokulları Müdürleri ve Koordinatör Yardımcılarından oluşur.</w:t>
            </w:r>
          </w:p>
          <w:p w:rsidR="00371345" w:rsidRPr="00BC1FA0" w:rsidRDefault="00371345" w:rsidP="00376991">
            <w:pPr>
              <w:pStyle w:val="Default"/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C1FA0">
              <w:rPr>
                <w:sz w:val="22"/>
                <w:szCs w:val="22"/>
              </w:rPr>
              <w:t>Meslek Yüksekokulları Müdürler Kurulu iki ayda en az bir kere, MEYOK koordinatörünün daveti üzerine toplanır. Koordinatör gerekli gördüğünde belirtilen</w:t>
            </w:r>
            <w:r w:rsidR="00F92897">
              <w:rPr>
                <w:sz w:val="22"/>
                <w:szCs w:val="22"/>
              </w:rPr>
              <w:t xml:space="preserve"> </w:t>
            </w:r>
            <w:r w:rsidRPr="00BC1FA0">
              <w:rPr>
                <w:sz w:val="22"/>
                <w:szCs w:val="22"/>
              </w:rPr>
              <w:t xml:space="preserve">zamanlar dışında da Kurul’u toplantıya davet </w:t>
            </w:r>
            <w:r w:rsidR="00F31C47" w:rsidRPr="00BC1FA0">
              <w:rPr>
                <w:sz w:val="22"/>
                <w:szCs w:val="22"/>
              </w:rPr>
              <w:t>edebilir. Kurul</w:t>
            </w:r>
            <w:r w:rsidRPr="00BC1FA0">
              <w:rPr>
                <w:sz w:val="22"/>
                <w:szCs w:val="22"/>
              </w:rPr>
              <w:t xml:space="preserve"> toplantıları, üyelerin yarısından bir fazlasının katılımı ile yapılır ve kararlar toplantıya katılanların salt çoğunluğu ile </w:t>
            </w:r>
            <w:r w:rsidR="00F31C47" w:rsidRPr="00BC1FA0">
              <w:rPr>
                <w:sz w:val="22"/>
                <w:szCs w:val="22"/>
              </w:rPr>
              <w:t>alınır. Eşitlik</w:t>
            </w:r>
            <w:r w:rsidRPr="00BC1FA0">
              <w:rPr>
                <w:sz w:val="22"/>
                <w:szCs w:val="22"/>
              </w:rPr>
              <w:t xml:space="preserve"> halinde başkanın oyu üstün sayılır.</w:t>
            </w:r>
          </w:p>
          <w:p w:rsidR="00371345" w:rsidRPr="00BC1FA0" w:rsidRDefault="00371345" w:rsidP="00376991">
            <w:pPr>
              <w:pStyle w:val="Default"/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C1FA0">
              <w:rPr>
                <w:sz w:val="22"/>
                <w:szCs w:val="22"/>
              </w:rPr>
              <w:t>Meslek Yüksekokulları Müdürler Kurulu, bu Yönergenin 5. maddesinde belirtilen görevleri yerine getirir.</w:t>
            </w:r>
          </w:p>
          <w:p w:rsidR="00BC1FA0" w:rsidRPr="00F31C47" w:rsidRDefault="00371345" w:rsidP="00376991">
            <w:pPr>
              <w:pStyle w:val="ListeParagraf"/>
              <w:numPr>
                <w:ilvl w:val="0"/>
                <w:numId w:val="9"/>
              </w:numPr>
              <w:tabs>
                <w:tab w:val="left" w:pos="62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1FA0">
              <w:rPr>
                <w:rFonts w:ascii="Times New Roman" w:hAnsi="Times New Roman" w:cs="Times New Roman"/>
              </w:rPr>
              <w:t xml:space="preserve">Meslek Yüksekokulları arasında, eğitim öğretim faaliyetleri kapsamında koordinasyonu       </w:t>
            </w:r>
            <w:r w:rsidR="00F31C47" w:rsidRPr="00F31C47">
              <w:rPr>
                <w:rFonts w:ascii="Times New Roman" w:hAnsi="Times New Roman" w:cs="Times New Roman"/>
              </w:rPr>
              <w:t>sağlamak.</w:t>
            </w:r>
          </w:p>
          <w:p w:rsidR="00BC1FA0" w:rsidRPr="00BC1FA0" w:rsidRDefault="00BC1FA0" w:rsidP="00376991">
            <w:pPr>
              <w:pStyle w:val="ListeParagraf"/>
              <w:tabs>
                <w:tab w:val="left" w:pos="620"/>
              </w:tabs>
              <w:spacing w:line="360" w:lineRule="auto"/>
              <w:ind w:left="1035"/>
              <w:jc w:val="both"/>
              <w:rPr>
                <w:rFonts w:ascii="Times New Roman" w:hAnsi="Times New Roman" w:cs="Times New Roman"/>
              </w:rPr>
            </w:pPr>
            <w:r w:rsidRPr="00BC1FA0">
              <w:rPr>
                <w:rFonts w:ascii="Times New Roman" w:hAnsi="Times New Roman" w:cs="Times New Roman"/>
              </w:rPr>
              <w:t xml:space="preserve">b) </w:t>
            </w:r>
            <w:r w:rsidR="00371345" w:rsidRPr="00BC1FA0">
              <w:rPr>
                <w:rFonts w:ascii="Times New Roman" w:hAnsi="Times New Roman" w:cs="Times New Roman"/>
              </w:rPr>
              <w:t>Sektörlerin nitelikli meslek elemanları ile ilgili gereksinimlerini belirleyerek, meslek yüksekokullarının bu amaçlar doğrultusunda eğitim öğretim planlarında güncellemeler konusunda çalışmalar yapmak,</w:t>
            </w:r>
          </w:p>
          <w:p w:rsidR="00BC1FA0" w:rsidRPr="00BC1FA0" w:rsidRDefault="00371345" w:rsidP="00376991">
            <w:pPr>
              <w:pStyle w:val="ListeParagraf"/>
              <w:tabs>
                <w:tab w:val="left" w:pos="620"/>
              </w:tabs>
              <w:spacing w:line="360" w:lineRule="auto"/>
              <w:ind w:left="1035"/>
              <w:jc w:val="both"/>
              <w:rPr>
                <w:rFonts w:ascii="Times New Roman" w:hAnsi="Times New Roman" w:cs="Times New Roman"/>
              </w:rPr>
            </w:pPr>
            <w:r w:rsidRPr="00BC1FA0">
              <w:rPr>
                <w:rFonts w:ascii="Times New Roman" w:hAnsi="Times New Roman" w:cs="Times New Roman"/>
              </w:rPr>
              <w:t xml:space="preserve"> c) Meslek Yüksekokullarının mevcut potansiyellerini ve üretkenliklerini artırıcı düzenlemeler yapmak, personel, kütüphane, </w:t>
            </w:r>
            <w:r w:rsidR="00F31C47" w:rsidRPr="00BC1FA0">
              <w:rPr>
                <w:rFonts w:ascii="Times New Roman" w:hAnsi="Times New Roman" w:cs="Times New Roman"/>
              </w:rPr>
              <w:t>laboratuar</w:t>
            </w:r>
            <w:r w:rsidRPr="00BC1FA0">
              <w:rPr>
                <w:rFonts w:ascii="Times New Roman" w:hAnsi="Times New Roman" w:cs="Times New Roman"/>
              </w:rPr>
              <w:t>, araç ve gereç gereksinimlerini karşılamak için gerekli planlama ve uygulama çalışmalarını yapmak,</w:t>
            </w:r>
          </w:p>
          <w:p w:rsidR="00BC1FA0" w:rsidRPr="00BC1FA0" w:rsidRDefault="00371345" w:rsidP="00376991">
            <w:pPr>
              <w:pStyle w:val="ListeParagraf"/>
              <w:tabs>
                <w:tab w:val="left" w:pos="620"/>
              </w:tabs>
              <w:spacing w:line="360" w:lineRule="auto"/>
              <w:ind w:left="1035"/>
              <w:jc w:val="both"/>
              <w:rPr>
                <w:rFonts w:ascii="Times New Roman" w:hAnsi="Times New Roman" w:cs="Times New Roman"/>
              </w:rPr>
            </w:pPr>
            <w:r w:rsidRPr="00BC1FA0">
              <w:rPr>
                <w:rFonts w:ascii="Times New Roman" w:hAnsi="Times New Roman" w:cs="Times New Roman"/>
              </w:rPr>
              <w:t>d) Meslek Yüksekokullarında yeni açılacak bölüm ve programlar konusunda ön çalışmalar yapmak, bu kapsamda Meslek Yüksekokullarından gelen önerileri değerlendirmek,</w:t>
            </w:r>
          </w:p>
          <w:p w:rsidR="00BC1FA0" w:rsidRPr="00BC1FA0" w:rsidRDefault="00371345" w:rsidP="00376991">
            <w:pPr>
              <w:pStyle w:val="ListeParagraf"/>
              <w:tabs>
                <w:tab w:val="left" w:pos="620"/>
              </w:tabs>
              <w:spacing w:line="360" w:lineRule="auto"/>
              <w:ind w:left="1035"/>
              <w:jc w:val="both"/>
              <w:rPr>
                <w:rFonts w:ascii="Times New Roman" w:hAnsi="Times New Roman" w:cs="Times New Roman"/>
              </w:rPr>
            </w:pPr>
            <w:r w:rsidRPr="00BC1FA0">
              <w:rPr>
                <w:rFonts w:ascii="Times New Roman" w:hAnsi="Times New Roman" w:cs="Times New Roman"/>
              </w:rPr>
              <w:t>e) Yükseköğretim Kurulu Başkanlığınca yayımlanan Meslek Yüksekokulu Öğrencilerinin İşyerlerindeki Eğitim, Uygulama ve Stajlara İlişkin Esas ve Usuller Hakkında Yönetmelik kapsamında yapılacak mesleki deneyim çalışmalarını kontrol etmek,</w:t>
            </w:r>
          </w:p>
          <w:p w:rsidR="00BC1FA0" w:rsidRPr="00BC1FA0" w:rsidRDefault="00371345" w:rsidP="00376991">
            <w:pPr>
              <w:pStyle w:val="ListeParagraf"/>
              <w:tabs>
                <w:tab w:val="left" w:pos="620"/>
              </w:tabs>
              <w:spacing w:line="360" w:lineRule="auto"/>
              <w:ind w:left="1035"/>
              <w:jc w:val="both"/>
            </w:pPr>
            <w:r w:rsidRPr="00BC1FA0">
              <w:rPr>
                <w:rFonts w:ascii="Times New Roman" w:hAnsi="Times New Roman" w:cs="Times New Roman"/>
              </w:rPr>
              <w:t>f) Üniversite stratejik planları kapsamında, mesleki eğitim ve meslek yüksekokullarına ilişkin faaliyetlerin yerine getirilmesinde gerekli çalışmaları yapmak,</w:t>
            </w:r>
          </w:p>
          <w:p w:rsidR="00371345" w:rsidRDefault="00371345" w:rsidP="00376991">
            <w:pPr>
              <w:pStyle w:val="Default"/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C1FA0">
              <w:rPr>
                <w:sz w:val="22"/>
                <w:szCs w:val="22"/>
              </w:rPr>
              <w:t xml:space="preserve">Koordinatör toplantı tarihinden en az 2 (iki) işgünü öncesinde gündemi </w:t>
            </w:r>
            <w:r w:rsidR="00F31C47" w:rsidRPr="00BC1FA0">
              <w:rPr>
                <w:sz w:val="22"/>
                <w:szCs w:val="22"/>
              </w:rPr>
              <w:t>Kurul üyelerine</w:t>
            </w:r>
            <w:r w:rsidRPr="00BC1FA0">
              <w:rPr>
                <w:sz w:val="22"/>
                <w:szCs w:val="22"/>
              </w:rPr>
              <w:t xml:space="preserve"> gönderir.</w:t>
            </w:r>
          </w:p>
          <w:p w:rsidR="00BA442E" w:rsidRPr="00BC1FA0" w:rsidRDefault="00BA442E" w:rsidP="00BA442E"/>
          <w:p w:rsidR="00BA442E" w:rsidRPr="00BC1FA0" w:rsidRDefault="00BA442E" w:rsidP="00BA442E"/>
          <w:p w:rsidR="00BA442E" w:rsidRPr="00BC1FA0" w:rsidRDefault="00BA442E" w:rsidP="00BA442E"/>
        </w:tc>
      </w:tr>
    </w:tbl>
    <w:p w:rsidR="00494EEC" w:rsidRPr="00BC1FA0" w:rsidRDefault="00494EEC" w:rsidP="00BA442E"/>
    <w:sectPr w:rsidR="00494EEC" w:rsidRPr="00BC1FA0" w:rsidSect="00376991">
      <w:headerReference w:type="default" r:id="rId7"/>
      <w:pgSz w:w="11906" w:h="16838"/>
      <w:pgMar w:top="1418" w:right="1418" w:bottom="993" w:left="1418" w:header="709" w:footer="709" w:gutter="0"/>
      <w:lnNumType w:countBy="2" w:restart="newSectio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1BB" w:rsidRDefault="006B01BB" w:rsidP="009533AA">
      <w:pPr>
        <w:spacing w:after="0" w:line="240" w:lineRule="auto"/>
      </w:pPr>
      <w:r>
        <w:separator/>
      </w:r>
    </w:p>
  </w:endnote>
  <w:endnote w:type="continuationSeparator" w:id="1">
    <w:p w:rsidR="006B01BB" w:rsidRDefault="006B01BB" w:rsidP="0095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1BB" w:rsidRDefault="006B01BB" w:rsidP="009533AA">
      <w:pPr>
        <w:spacing w:after="0" w:line="240" w:lineRule="auto"/>
      </w:pPr>
      <w:r>
        <w:separator/>
      </w:r>
    </w:p>
  </w:footnote>
  <w:footnote w:type="continuationSeparator" w:id="1">
    <w:p w:rsidR="006B01BB" w:rsidRDefault="006B01BB" w:rsidP="00953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39" w:type="dxa"/>
      <w:tblLook w:val="04A0"/>
    </w:tblPr>
    <w:tblGrid>
      <w:gridCol w:w="2518"/>
      <w:gridCol w:w="4536"/>
      <w:gridCol w:w="2585"/>
    </w:tblGrid>
    <w:tr w:rsidR="00BA442E" w:rsidTr="00BA442E">
      <w:trPr>
        <w:trHeight w:val="1830"/>
      </w:trPr>
      <w:tc>
        <w:tcPr>
          <w:tcW w:w="2518" w:type="dxa"/>
          <w:vAlign w:val="center"/>
        </w:tcPr>
        <w:p w:rsidR="00BA442E" w:rsidRDefault="00BA442E" w:rsidP="00651CF4">
          <w:pPr>
            <w:pStyle w:val="stbilgi"/>
            <w:jc w:val="center"/>
          </w:pPr>
          <w:r w:rsidRPr="00BA442E">
            <w:rPr>
              <w:noProof/>
            </w:rPr>
            <w:drawing>
              <wp:inline distT="0" distB="0" distL="0" distR="0">
                <wp:extent cx="1228725" cy="1162050"/>
                <wp:effectExtent l="19050" t="0" r="9525" b="0"/>
                <wp:docPr id="11" name="Resim 7" descr="https://i.pinimg.com/564x/04/85/2d/04852d543ca717a75a89d0e3254ce3e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i.pinimg.com/564x/04/85/2d/04852d543ca717a75a89d0e3254ce3e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 xml:space="preserve">MUNZUR ÜNİVERSİTESİ </w:t>
          </w:r>
        </w:p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 xml:space="preserve">MESLEK YÜKSEKOKULLLARI </w:t>
          </w:r>
        </w:p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 xml:space="preserve">KOORDİNATÖRLÜĞÜ </w:t>
          </w:r>
        </w:p>
        <w:p w:rsidR="00BA442E" w:rsidRPr="004272E5" w:rsidRDefault="00734713" w:rsidP="00734713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GÖREV TANIMLARI</w:t>
          </w:r>
        </w:p>
      </w:tc>
      <w:tc>
        <w:tcPr>
          <w:tcW w:w="2585" w:type="dxa"/>
          <w:vAlign w:val="center"/>
        </w:tcPr>
        <w:p w:rsidR="00BA442E" w:rsidRDefault="00BA442E" w:rsidP="00651CF4">
          <w:pPr>
            <w:pStyle w:val="stbilgi"/>
            <w:jc w:val="center"/>
          </w:pPr>
        </w:p>
        <w:p w:rsidR="00BA442E" w:rsidRDefault="00BA442E" w:rsidP="00651CF4">
          <w:pPr>
            <w:pStyle w:val="stbilgi"/>
            <w:jc w:val="center"/>
          </w:pPr>
        </w:p>
        <w:p w:rsidR="00BA442E" w:rsidRPr="004272E5" w:rsidRDefault="00BA442E" w:rsidP="00651CF4">
          <w:pPr>
            <w:pStyle w:val="stbilgi"/>
            <w:jc w:val="center"/>
          </w:pPr>
          <w:r w:rsidRPr="00BA442E">
            <w:rPr>
              <w:noProof/>
            </w:rPr>
            <w:drawing>
              <wp:inline distT="0" distB="0" distL="0" distR="0">
                <wp:extent cx="1228725" cy="1162050"/>
                <wp:effectExtent l="19050" t="0" r="9525" b="0"/>
                <wp:docPr id="6" name="Resim 7" descr="https://i.pinimg.com/564x/04/85/2d/04852d543ca717a75a89d0e3254ce3e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i.pinimg.com/564x/04/85/2d/04852d543ca717a75a89d0e3254ce3e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>MESLEK YÜKSEKOKULLARI KOORDİNATÖRLÜĞÜ</w:t>
          </w:r>
        </w:p>
      </w:tc>
    </w:tr>
  </w:tbl>
  <w:p w:rsidR="009533AA" w:rsidRPr="00E258FE" w:rsidRDefault="009533AA" w:rsidP="00E258F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837F0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E6E1F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328B2"/>
    <w:multiLevelType w:val="hybridMultilevel"/>
    <w:tmpl w:val="47108D18"/>
    <w:lvl w:ilvl="0" w:tplc="B37C185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B7FB1"/>
    <w:multiLevelType w:val="hybridMultilevel"/>
    <w:tmpl w:val="C24450E4"/>
    <w:lvl w:ilvl="0" w:tplc="4B94C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CE578D"/>
    <w:multiLevelType w:val="hybridMultilevel"/>
    <w:tmpl w:val="1C2AF9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A640C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F08C7"/>
    <w:multiLevelType w:val="hybridMultilevel"/>
    <w:tmpl w:val="09BCDA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83F9C"/>
    <w:multiLevelType w:val="hybridMultilevel"/>
    <w:tmpl w:val="78BEB186"/>
    <w:lvl w:ilvl="0" w:tplc="8DC8D64A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5D9C7BA2"/>
    <w:multiLevelType w:val="hybridMultilevel"/>
    <w:tmpl w:val="C4C0A0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00F05"/>
    <w:multiLevelType w:val="hybridMultilevel"/>
    <w:tmpl w:val="FB0C8DA4"/>
    <w:lvl w:ilvl="0" w:tplc="F3BAEFFA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0">
    <w:nsid w:val="6D7D2A9F"/>
    <w:multiLevelType w:val="hybridMultilevel"/>
    <w:tmpl w:val="C4C0A0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1631B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94EEC"/>
    <w:rsid w:val="000B711F"/>
    <w:rsid w:val="000D5F77"/>
    <w:rsid w:val="000F26A7"/>
    <w:rsid w:val="0018780E"/>
    <w:rsid w:val="001B7150"/>
    <w:rsid w:val="001C5294"/>
    <w:rsid w:val="0022647B"/>
    <w:rsid w:val="0025593F"/>
    <w:rsid w:val="00275E13"/>
    <w:rsid w:val="002D5B3A"/>
    <w:rsid w:val="00341E0C"/>
    <w:rsid w:val="003620C3"/>
    <w:rsid w:val="00371345"/>
    <w:rsid w:val="00376991"/>
    <w:rsid w:val="003F66BB"/>
    <w:rsid w:val="004048B3"/>
    <w:rsid w:val="00413D39"/>
    <w:rsid w:val="00413E2F"/>
    <w:rsid w:val="0042284D"/>
    <w:rsid w:val="00494EEC"/>
    <w:rsid w:val="004B4C88"/>
    <w:rsid w:val="004B6122"/>
    <w:rsid w:val="00530B81"/>
    <w:rsid w:val="005A26ED"/>
    <w:rsid w:val="005D3679"/>
    <w:rsid w:val="005D5625"/>
    <w:rsid w:val="00651D27"/>
    <w:rsid w:val="006B01BB"/>
    <w:rsid w:val="006B33AA"/>
    <w:rsid w:val="006C5A88"/>
    <w:rsid w:val="006F3C2F"/>
    <w:rsid w:val="00734713"/>
    <w:rsid w:val="0079657A"/>
    <w:rsid w:val="007A6356"/>
    <w:rsid w:val="0082512C"/>
    <w:rsid w:val="008679F7"/>
    <w:rsid w:val="00880466"/>
    <w:rsid w:val="008C39EA"/>
    <w:rsid w:val="008D42B7"/>
    <w:rsid w:val="009533AA"/>
    <w:rsid w:val="0096709E"/>
    <w:rsid w:val="00971520"/>
    <w:rsid w:val="009D687A"/>
    <w:rsid w:val="00A277FE"/>
    <w:rsid w:val="00A3470C"/>
    <w:rsid w:val="00A707EA"/>
    <w:rsid w:val="00A73BA2"/>
    <w:rsid w:val="00AA5400"/>
    <w:rsid w:val="00B06D03"/>
    <w:rsid w:val="00B41C8A"/>
    <w:rsid w:val="00BA442E"/>
    <w:rsid w:val="00BC1FA0"/>
    <w:rsid w:val="00C34369"/>
    <w:rsid w:val="00C53BEA"/>
    <w:rsid w:val="00C85F98"/>
    <w:rsid w:val="00CB02AF"/>
    <w:rsid w:val="00CB6082"/>
    <w:rsid w:val="00CD0EDF"/>
    <w:rsid w:val="00D07F55"/>
    <w:rsid w:val="00D13B7B"/>
    <w:rsid w:val="00D157C3"/>
    <w:rsid w:val="00D53B7D"/>
    <w:rsid w:val="00DB2088"/>
    <w:rsid w:val="00E258FE"/>
    <w:rsid w:val="00EF76AF"/>
    <w:rsid w:val="00F31C47"/>
    <w:rsid w:val="00F92897"/>
    <w:rsid w:val="00FA3FDE"/>
    <w:rsid w:val="00FA5449"/>
    <w:rsid w:val="00FB2166"/>
    <w:rsid w:val="00FC218C"/>
    <w:rsid w:val="00FD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6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4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53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33AA"/>
  </w:style>
  <w:style w:type="paragraph" w:styleId="Altbilgi">
    <w:name w:val="footer"/>
    <w:basedOn w:val="Normal"/>
    <w:link w:val="AltbilgiChar"/>
    <w:uiPriority w:val="99"/>
    <w:semiHidden/>
    <w:unhideWhenUsed/>
    <w:rsid w:val="00953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533AA"/>
  </w:style>
  <w:style w:type="paragraph" w:styleId="BalonMetni">
    <w:name w:val="Balloon Text"/>
    <w:basedOn w:val="Normal"/>
    <w:link w:val="BalonMetniChar"/>
    <w:uiPriority w:val="99"/>
    <w:semiHidden/>
    <w:unhideWhenUsed/>
    <w:rsid w:val="00E2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58F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58FE"/>
    <w:pPr>
      <w:ind w:left="720"/>
      <w:contextualSpacing/>
    </w:pPr>
  </w:style>
  <w:style w:type="paragraph" w:customStyle="1" w:styleId="Default">
    <w:name w:val="Default"/>
    <w:rsid w:val="006F3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atrNumaras">
    <w:name w:val="line number"/>
    <w:basedOn w:val="VarsaylanParagrafYazTipi"/>
    <w:uiPriority w:val="99"/>
    <w:semiHidden/>
    <w:unhideWhenUsed/>
    <w:rsid w:val="003713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45</cp:revision>
  <cp:lastPrinted>2024-12-04T06:58:00Z</cp:lastPrinted>
  <dcterms:created xsi:type="dcterms:W3CDTF">2024-12-03T11:53:00Z</dcterms:created>
  <dcterms:modified xsi:type="dcterms:W3CDTF">2024-12-10T11:14:00Z</dcterms:modified>
</cp:coreProperties>
</file>