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327"/>
        <w:gridCol w:w="3327"/>
      </w:tblGrid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0F1F69">
        <w:trPr>
          <w:trHeight w:val="337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6B02C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Default="00485C79" w:rsidP="006B02CB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  <w:p w:rsidR="006B02CB" w:rsidRPr="00884EE1" w:rsidRDefault="006B02CB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B56E43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1E42C0" w:rsidRPr="00B56E43" w:rsidRDefault="00B56E43" w:rsidP="00C81905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884EE1" w:rsidRDefault="0051060F" w:rsidP="0051060F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 xml:space="preserve">yapmak. Fakültenin </w:t>
            </w:r>
            <w:proofErr w:type="gramStart"/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vizyonu</w:t>
            </w:r>
            <w:proofErr w:type="gramEnd"/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, misyonu doğrultusunda idari personelin sağlıklı, düzenli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 uyumlu bir şekilde yürütülmesi ile ilgili çalışmalar yapmak, planlamak, yönlendirmek, koordine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7412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 denetlemek.</w:t>
            </w:r>
          </w:p>
        </w:tc>
      </w:tr>
      <w:tr w:rsidR="00370A20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Fakültenin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dışı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tüm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işlerini yürütmek,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teşkilatında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görevlendirilecek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hakkında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Dekana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öneride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bulunmak,</w:t>
            </w:r>
          </w:p>
          <w:p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 içi ve kurum dışı yazışmaları “Resmi Yazışmalarda Uygulanacak Usul ve Esaslar Hakkında Yönetmelik” ile “Munzur Üniversitesi İmza Yetkileri </w:t>
            </w:r>
            <w:proofErr w:type="spellStart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Yönergesi”ne</w:t>
            </w:r>
            <w:proofErr w:type="spellEnd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göre hazırlanmasını ve gönderilmesini sağlamak. İlgili mevzuatlar çerçevesinde dosyalanma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 ve arşivlenmesini sağlamak,</w:t>
            </w:r>
          </w:p>
          <w:p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bünyesinde birim arşivi oluşturup sorumlusunu belirlemek, arşiv düzenini ve her türlü evrakın arşiv yönetmelikleri doğrultusunda arşivle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nmesini sağlamak,</w:t>
            </w:r>
          </w:p>
          <w:p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e-posta adresine gelen veya fiziki ortamda teslim edilen dilekçeleri mevzuat çerçevesinde uygunluğunu kontrol edip, kaydını yaptırmak ve sevkiyatını gerçekleştirmek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8"/>
              <w:ind w:right="6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Dekanın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görmesi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halinde,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33.maddesi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uyarınca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gerçekleştirme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görevlisi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görevini</w:t>
            </w:r>
            <w:r w:rsidRPr="0074126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yürütmek,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Kuruluna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oy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hakkı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olmaksızın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raportörlük</w:t>
            </w:r>
            <w:proofErr w:type="gramEnd"/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görevini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0"/>
              <w:ind w:right="6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Genel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Kurulu,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gündemini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hazırlatmak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üyelere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dağıtılmasını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C4361D" w:rsidRPr="00C4361D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4"/>
              <w:ind w:right="6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C43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Kurulu ve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="00C436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raportörü</w:t>
            </w:r>
            <w:proofErr w:type="gramEnd"/>
            <w:r w:rsidR="00C436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olarak görev almak,</w:t>
            </w:r>
          </w:p>
          <w:p w:rsidR="0051060F" w:rsidRPr="00741268" w:rsidRDefault="00C4361D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4"/>
              <w:ind w:right="6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Fakülte Kurulu, Yönetim Kurulu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51060F"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="0051060F"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="0051060F"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kararlarının</w:t>
            </w:r>
            <w:r w:rsidR="0051060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</w:t>
            </w:r>
            <w:r w:rsidR="0051060F"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Makamına</w:t>
            </w:r>
            <w:r w:rsidR="0051060F"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51060F"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="0051060F"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birimlere iletilmesini</w:t>
            </w:r>
            <w:r w:rsidR="0051060F"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arşivlenmesini</w:t>
            </w:r>
            <w:r w:rsidR="0051060F"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51060F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Kurum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kurum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dışından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gelen evrakın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havalesini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yaparak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kaydedilmesini, birim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yönlendirilmesini</w:t>
            </w:r>
            <w:r w:rsidRPr="00741268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Fakültenin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protokol,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basın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halkla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ilişkiler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3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için gerekli olan her türlü mal ve malzeme alımlarında yapılması gereken işlemlerin taşınır kayıt kontrol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yetkilisi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 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3"/>
              <w:ind w:right="7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özlük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hakları,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alımı,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uzatma,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soruşturma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gibi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işlerinin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koordinasyonunu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58"/>
                <w:tab w:val="left" w:pos="859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izinlerini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fakültedeki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akış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aksatmayacak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biçimde</w:t>
            </w:r>
            <w:r w:rsidRPr="0074126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58"/>
                <w:tab w:val="left" w:pos="859"/>
              </w:tabs>
              <w:spacing w:before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raporlarını,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mevzuata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iç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kontrol uyum eylem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planının</w:t>
            </w:r>
            <w:r w:rsidRPr="0074126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hazırlanmasını,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sunulmasını</w:t>
            </w:r>
            <w:r w:rsidRPr="00741268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Tasarruf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ilkelerine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hareket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edilmesini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58"/>
                <w:tab w:val="left" w:pos="859"/>
              </w:tabs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WEB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sayfasının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düzenlenmesini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sürekli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takibini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düzenlenecek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resmi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açılış,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tören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etkinliklerini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organize</w:t>
            </w:r>
            <w:r w:rsidRPr="0074126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periyodik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toplantılar yapmak, uyumlu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verimli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 tedbirleri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almak,</w:t>
            </w:r>
            <w:r w:rsidRPr="0074126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 arasında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adil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işbölümü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kılık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kıyafetleri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görevlerini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yerine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getirip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getirmediklerini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denetlemek,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durumlarda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 görev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alanlarını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ind w:right="2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Fakültedeki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kişisel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dosyalarının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tutulmasını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takip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etmek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istenildiğinde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üst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="00871AB4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  </w:t>
            </w:r>
            <w:r w:rsidR="00871A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makamlara</w:t>
            </w:r>
            <w:proofErr w:type="gramEnd"/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bilgileri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biçimde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00"/>
              <w:ind w:right="2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Kurum içi veya kurum dışından gelen talep ve yazıların değerlendirilerek zamanında cevaplanmasını ve/ve ya gerekli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duyurunun yapılmasını, dosyalanmasını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arşivlenmesini</w:t>
            </w:r>
            <w:r w:rsidRPr="00741268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9"/>
              <w:ind w:right="5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Fakültenin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ihtiyacı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olan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başkanlıklarınca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bildirilen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demirbaş,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temizlik,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kırtasiye,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araçları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gibi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tüketim malzemeleri ile akademik personelin taleplerinin bütçe imkânları dâhilinde </w:t>
            </w:r>
            <w:r w:rsidR="00F20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onayı ile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teminini sağlamak, bakım ve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onarımlarını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yaptırmak,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Satın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alma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ihalelerle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yapmak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sonuçlandırmak,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0"/>
              <w:ind w:right="1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Fakülteye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işlemlerinin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takibi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sonuçlarının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Rektörlüğe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iletilmesini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uzatılması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20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işlemlerinin </w:t>
            </w:r>
            <w:proofErr w:type="gramStart"/>
            <w:r w:rsidR="00720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yerine 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getirilmesini</w:t>
            </w:r>
            <w:proofErr w:type="gramEnd"/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bütçe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taslağının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hazırlanmasını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Çevre,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temizlik,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bakım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onarım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hizmetlerinin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denetlemek,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3"/>
              <w:ind w:right="8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maaş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yollukları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ücretlerinin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hazırlanmasını 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tahakkuk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ettirilmesini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taşınır</w:t>
            </w:r>
            <w:r w:rsidRPr="0074126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mal kayıt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kontrol,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satın alma,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bütçe</w:t>
            </w:r>
            <w:r w:rsidRPr="0074126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ödenek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durumlarının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takibini</w:t>
            </w:r>
            <w:r w:rsidRPr="0074126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Fakülteye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depoların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tutulmasını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Baskı,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fotokopi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hizmetlerinin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çalışmasını sağlamak,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belgesi ve transkript onay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tasdikini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Göreviyle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evrak,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eşya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araç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gereçleri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korumak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 saklamak,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5"/>
              <w:ind w:right="6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Fakültede çalışan idari, teknik ve yardımcı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 personeli arasında işbölümünü sağlamak, gerekli denetim-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gözetimi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edinme yasası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çerçevesinde,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basit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istemi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niteliğini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taşıyan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yazılara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cevap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vermek,</w:t>
            </w:r>
          </w:p>
          <w:p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5"/>
              <w:ind w:right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 ortamında iş sağlığı ve güvenliği ile ilgili hususların</w:t>
            </w:r>
            <w:bookmarkStart w:id="0" w:name="_GoBack"/>
            <w:bookmarkEnd w:id="0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uygulanması konusunda gerekli uyarıları yapmak,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mevcut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elektrikli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aletlerde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kontrollerin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koordine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etmek,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kapı-pencerelerin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mesai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saatleri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dışında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kapalı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 uyarılarda bulunmak,</w:t>
            </w:r>
          </w:p>
          <w:p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spacing w:before="5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Bağlı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olduğu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süreç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üst yöneticileri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verilen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spacing w:before="5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örev</w:t>
            </w:r>
            <w:r w:rsidRPr="007412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7412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sağlığı</w:t>
            </w:r>
            <w:r w:rsidRPr="00741268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kurallarına</w:t>
            </w:r>
            <w:r w:rsidRPr="0074126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Fakülte Sekreteri, yukarıda yazılı olan bütün bu görevleri kanunlara ve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yönetmeliklere uygun olarak yerine getirirken Dekana karşı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B06E3A" w:rsidRPr="00B06E3A" w:rsidRDefault="00B06E3A" w:rsidP="0051060F">
            <w:pPr>
              <w:pStyle w:val="TableParagraph"/>
              <w:tabs>
                <w:tab w:val="left" w:pos="553"/>
              </w:tabs>
              <w:spacing w:line="264" w:lineRule="auto"/>
              <w:ind w:left="0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>Gerçekleştirme görevlisi olarak yetkisini kullanmak.</w:t>
            </w:r>
          </w:p>
          <w:p w:rsidR="00706EED" w:rsidRPr="00E838FD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olmak.</w:t>
            </w:r>
          </w:p>
        </w:tc>
      </w:tr>
      <w:tr w:rsidR="00706EED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lastRenderedPageBreak/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24004F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lastRenderedPageBreak/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D95CD4" w:rsidP="00D95CD4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871AB4" w:rsidRPr="00D95CD4" w:rsidRDefault="00871AB4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95CD4">
              <w:rPr>
                <w:rFonts w:ascii="Times New Roman" w:eastAsia="Times New Roman" w:hAnsi="Times New Roman" w:cs="Times New Roman"/>
                <w:sz w:val="20"/>
                <w:szCs w:val="20"/>
              </w:rPr>
              <w:t>Kanununu</w:t>
            </w:r>
          </w:p>
          <w:p w:rsidR="00D95CD4" w:rsidRPr="00D95CD4" w:rsidRDefault="00D95CD4" w:rsidP="00D95CD4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</w:t>
            </w:r>
            <w:r w:rsidR="00705338">
              <w:rPr>
                <w:rFonts w:ascii="Times New Roman" w:hAnsi="Times New Roman" w:cs="Times New Roman"/>
                <w:sz w:val="20"/>
                <w:szCs w:val="20"/>
              </w:rPr>
              <w:t xml:space="preserve"> Eğitim Öğretim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Yönetmeliği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0F1F69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0F1F69">
        <w:trPr>
          <w:trHeight w:val="401"/>
        </w:trPr>
        <w:tc>
          <w:tcPr>
            <w:tcW w:w="297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Şef/Göreve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0F1F69">
        <w:trPr>
          <w:trHeight w:val="401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F1F69">
        <w:trPr>
          <w:trHeight w:val="401"/>
        </w:trPr>
        <w:tc>
          <w:tcPr>
            <w:tcW w:w="297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0A" w:rsidRDefault="0022330A" w:rsidP="00732926">
      <w:r>
        <w:separator/>
      </w:r>
    </w:p>
  </w:endnote>
  <w:endnote w:type="continuationSeparator" w:id="0">
    <w:p w:rsidR="0022330A" w:rsidRDefault="0022330A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0A" w:rsidRDefault="0022330A" w:rsidP="00732926">
      <w:r>
        <w:separator/>
      </w:r>
    </w:p>
  </w:footnote>
  <w:footnote w:type="continuationSeparator" w:id="0">
    <w:p w:rsidR="0022330A" w:rsidRDefault="0022330A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C81905" w:rsidRDefault="00B56E43" w:rsidP="00B56E43">
    <w:pPr>
      <w:jc w:val="center"/>
      <w:rPr>
        <w:b/>
        <w:color w:val="002060"/>
        <w:sz w:val="24"/>
        <w:szCs w:val="24"/>
      </w:rPr>
    </w:pPr>
    <w:r w:rsidRPr="00C81905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4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3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6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4"/>
  </w:num>
  <w:num w:numId="13">
    <w:abstractNumId w:val="10"/>
  </w:num>
  <w:num w:numId="14">
    <w:abstractNumId w:val="15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D407C"/>
    <w:rsid w:val="000F1F69"/>
    <w:rsid w:val="00107E61"/>
    <w:rsid w:val="00131C30"/>
    <w:rsid w:val="00137805"/>
    <w:rsid w:val="00160D1A"/>
    <w:rsid w:val="00176394"/>
    <w:rsid w:val="001B21D3"/>
    <w:rsid w:val="001B7F38"/>
    <w:rsid w:val="001E42C0"/>
    <w:rsid w:val="002056A8"/>
    <w:rsid w:val="0022330A"/>
    <w:rsid w:val="0024004F"/>
    <w:rsid w:val="0029162E"/>
    <w:rsid w:val="002966DB"/>
    <w:rsid w:val="002A6D29"/>
    <w:rsid w:val="002B5FD7"/>
    <w:rsid w:val="002C0CF3"/>
    <w:rsid w:val="002F56EB"/>
    <w:rsid w:val="00303CB5"/>
    <w:rsid w:val="00307B94"/>
    <w:rsid w:val="00334EAC"/>
    <w:rsid w:val="00365A18"/>
    <w:rsid w:val="003706C0"/>
    <w:rsid w:val="00370A20"/>
    <w:rsid w:val="00381A8E"/>
    <w:rsid w:val="003A4245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63B67"/>
    <w:rsid w:val="00566853"/>
    <w:rsid w:val="005960DA"/>
    <w:rsid w:val="00616038"/>
    <w:rsid w:val="00645EB4"/>
    <w:rsid w:val="006473B4"/>
    <w:rsid w:val="00652C08"/>
    <w:rsid w:val="006A7F1B"/>
    <w:rsid w:val="006B02CB"/>
    <w:rsid w:val="006B185F"/>
    <w:rsid w:val="006D6D4C"/>
    <w:rsid w:val="00700314"/>
    <w:rsid w:val="00700C37"/>
    <w:rsid w:val="00705338"/>
    <w:rsid w:val="00706EED"/>
    <w:rsid w:val="00720E7B"/>
    <w:rsid w:val="007302B3"/>
    <w:rsid w:val="00732926"/>
    <w:rsid w:val="00763705"/>
    <w:rsid w:val="00781613"/>
    <w:rsid w:val="007B1DA9"/>
    <w:rsid w:val="007C52EA"/>
    <w:rsid w:val="007F66E9"/>
    <w:rsid w:val="00815099"/>
    <w:rsid w:val="0083469A"/>
    <w:rsid w:val="00871AB4"/>
    <w:rsid w:val="00884EE1"/>
    <w:rsid w:val="008A6F08"/>
    <w:rsid w:val="008E0295"/>
    <w:rsid w:val="008F5382"/>
    <w:rsid w:val="0092181B"/>
    <w:rsid w:val="00941C2E"/>
    <w:rsid w:val="009758BC"/>
    <w:rsid w:val="00983096"/>
    <w:rsid w:val="00994817"/>
    <w:rsid w:val="0099697B"/>
    <w:rsid w:val="009B0081"/>
    <w:rsid w:val="009D44CD"/>
    <w:rsid w:val="00A01524"/>
    <w:rsid w:val="00A3492D"/>
    <w:rsid w:val="00A35BFD"/>
    <w:rsid w:val="00A756F0"/>
    <w:rsid w:val="00A84694"/>
    <w:rsid w:val="00AA3CF9"/>
    <w:rsid w:val="00AB0577"/>
    <w:rsid w:val="00AD15E8"/>
    <w:rsid w:val="00AE0FB1"/>
    <w:rsid w:val="00AE7602"/>
    <w:rsid w:val="00B06E3A"/>
    <w:rsid w:val="00B42D77"/>
    <w:rsid w:val="00B56E43"/>
    <w:rsid w:val="00B63F4F"/>
    <w:rsid w:val="00B85620"/>
    <w:rsid w:val="00B9562B"/>
    <w:rsid w:val="00BC2D8A"/>
    <w:rsid w:val="00BC518A"/>
    <w:rsid w:val="00BC60D2"/>
    <w:rsid w:val="00BD773C"/>
    <w:rsid w:val="00C02896"/>
    <w:rsid w:val="00C04CE3"/>
    <w:rsid w:val="00C3567F"/>
    <w:rsid w:val="00C4205E"/>
    <w:rsid w:val="00C4361D"/>
    <w:rsid w:val="00C81905"/>
    <w:rsid w:val="00C87163"/>
    <w:rsid w:val="00C90E0C"/>
    <w:rsid w:val="00CC48B7"/>
    <w:rsid w:val="00CE1343"/>
    <w:rsid w:val="00CE2CB7"/>
    <w:rsid w:val="00CF2629"/>
    <w:rsid w:val="00D1024E"/>
    <w:rsid w:val="00D339F3"/>
    <w:rsid w:val="00D55FE3"/>
    <w:rsid w:val="00D66B69"/>
    <w:rsid w:val="00D95CD4"/>
    <w:rsid w:val="00DA26A1"/>
    <w:rsid w:val="00DA3BB9"/>
    <w:rsid w:val="00DB3678"/>
    <w:rsid w:val="00DC34C6"/>
    <w:rsid w:val="00DD0387"/>
    <w:rsid w:val="00E05032"/>
    <w:rsid w:val="00E4764A"/>
    <w:rsid w:val="00E47B38"/>
    <w:rsid w:val="00E720B2"/>
    <w:rsid w:val="00E76621"/>
    <w:rsid w:val="00E838FD"/>
    <w:rsid w:val="00EB6220"/>
    <w:rsid w:val="00EC28D0"/>
    <w:rsid w:val="00EC5707"/>
    <w:rsid w:val="00ED5338"/>
    <w:rsid w:val="00ED6DE8"/>
    <w:rsid w:val="00F2039D"/>
    <w:rsid w:val="00F3145C"/>
    <w:rsid w:val="00F32E0A"/>
    <w:rsid w:val="00F56C70"/>
    <w:rsid w:val="00F62CB4"/>
    <w:rsid w:val="00F63FE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399A-FA08-4CE9-8260-95AD1865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25</cp:revision>
  <dcterms:created xsi:type="dcterms:W3CDTF">2023-11-12T05:32:00Z</dcterms:created>
  <dcterms:modified xsi:type="dcterms:W3CDTF">2023-11-22T11:36:00Z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