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AB" w:rsidRPr="00042748" w:rsidRDefault="004E19AB" w:rsidP="00E5104D">
      <w:pPr>
        <w:pStyle w:val="AralkYok"/>
        <w:rPr>
          <w:sz w:val="20"/>
        </w:rPr>
      </w:pPr>
    </w:p>
    <w:tbl>
      <w:tblPr>
        <w:tblStyle w:val="TabloKlavuzu"/>
        <w:tblpPr w:vertAnchor="text" w:horzAnchor="page" w:tblpXSpec="center" w:tblpY="-270"/>
        <w:tblOverlap w:val="never"/>
        <w:tblW w:w="9617" w:type="dxa"/>
        <w:tblLayout w:type="fixed"/>
        <w:tblLook w:val="04A0" w:firstRow="1" w:lastRow="0" w:firstColumn="1" w:lastColumn="0" w:noHBand="0" w:noVBand="1"/>
      </w:tblPr>
      <w:tblGrid>
        <w:gridCol w:w="3426"/>
        <w:gridCol w:w="6191"/>
      </w:tblGrid>
      <w:tr w:rsidR="00786610" w:rsidTr="00F1318A">
        <w:trPr>
          <w:trHeight w:val="340"/>
        </w:trPr>
        <w:tc>
          <w:tcPr>
            <w:tcW w:w="3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786610" w:rsidRDefault="00786610" w:rsidP="00F1318A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Birimi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6610" w:rsidRDefault="00786610" w:rsidP="00E15530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" w:hAnsi="Cambria" w:cs="Cambria"/>
                <w:color w:val="000000"/>
              </w:rPr>
              <w:t>Çemişgezek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Meslek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Yüksekokulu</w:t>
            </w:r>
            <w:proofErr w:type="spellEnd"/>
          </w:p>
        </w:tc>
      </w:tr>
      <w:tr w:rsidR="00786610" w:rsidTr="00F1318A">
        <w:trPr>
          <w:trHeight w:val="340"/>
        </w:trPr>
        <w:tc>
          <w:tcPr>
            <w:tcW w:w="3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786610" w:rsidRDefault="00786610" w:rsidP="00F1318A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Görev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Unvanı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6610" w:rsidRDefault="003A3C7C" w:rsidP="00E15530">
            <w:pPr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</w:rPr>
              <w:t>Güvenlik</w:t>
            </w:r>
            <w:proofErr w:type="spellEnd"/>
            <w:r w:rsidRPr="003A3C7C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</w:rPr>
              <w:t>Görevlisi</w:t>
            </w:r>
            <w:proofErr w:type="spellEnd"/>
          </w:p>
        </w:tc>
      </w:tr>
      <w:tr w:rsidR="00786610" w:rsidTr="00F1318A">
        <w:trPr>
          <w:trHeight w:val="340"/>
        </w:trPr>
        <w:tc>
          <w:tcPr>
            <w:tcW w:w="3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786610" w:rsidRDefault="00786610" w:rsidP="00F1318A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En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Yak</w:t>
            </w:r>
            <w:r>
              <w:rPr>
                <w:rFonts w:ascii="Cambria,Bold" w:hAnsi="Cambria,Bold" w:cs="Cambria,Bold"/>
                <w:b/>
                <w:bCs/>
                <w:color w:val="002060"/>
                <w:spacing w:val="-2"/>
              </w:rPr>
              <w:t>ı</w:t>
            </w:r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n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Y</w:t>
            </w:r>
            <w:r>
              <w:rPr>
                <w:rFonts w:ascii="Cambria,Bold" w:hAnsi="Cambria,Bold" w:cs="Cambria,Bold"/>
                <w:b/>
                <w:bCs/>
                <w:color w:val="002060"/>
                <w:spacing w:val="-3"/>
              </w:rPr>
              <w:t>ö</w:t>
            </w:r>
            <w:r>
              <w:rPr>
                <w:rFonts w:ascii="Cambria,Bold" w:hAnsi="Cambria,Bold" w:cs="Cambria,Bold"/>
                <w:b/>
                <w:bCs/>
                <w:color w:val="002060"/>
              </w:rPr>
              <w:t>netici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6610" w:rsidRDefault="003A3C7C" w:rsidP="003A3C7C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</w:rPr>
              <w:t>Güvenlik</w:t>
            </w:r>
            <w:proofErr w:type="spellEnd"/>
            <w:r w:rsidRPr="003A3C7C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</w:rPr>
              <w:t>Şefi</w:t>
            </w:r>
            <w:proofErr w:type="spellEnd"/>
            <w:r w:rsidRPr="003A3C7C">
              <w:rPr>
                <w:rFonts w:ascii="Cambria" w:hAnsi="Cambria" w:cs="Cambria"/>
                <w:color w:val="000000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</w:rPr>
              <w:t>Güvenlik</w:t>
            </w:r>
            <w:proofErr w:type="spellEnd"/>
            <w:r w:rsidRPr="003A3C7C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</w:rPr>
              <w:t>Amiri</w:t>
            </w:r>
            <w:proofErr w:type="spellEnd"/>
            <w:r w:rsidRPr="003A3C7C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</w:rPr>
              <w:t>Şube</w:t>
            </w:r>
            <w:proofErr w:type="spellEnd"/>
            <w:r w:rsidRPr="003A3C7C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</w:rPr>
              <w:t>Müdürü</w:t>
            </w:r>
            <w:proofErr w:type="spellEnd"/>
            <w:r w:rsidRPr="003A3C7C">
              <w:rPr>
                <w:rFonts w:ascii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 w:cs="Cambria"/>
                <w:color w:val="000000"/>
              </w:rPr>
              <w:t>Birim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Amiri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</w:p>
        </w:tc>
      </w:tr>
      <w:tr w:rsidR="00786610" w:rsidTr="00F1318A">
        <w:trPr>
          <w:trHeight w:val="340"/>
        </w:trPr>
        <w:tc>
          <w:tcPr>
            <w:tcW w:w="3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786610" w:rsidRDefault="00786610" w:rsidP="00F1318A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Yokluğunda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Vekâlet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E</w:t>
            </w:r>
            <w:r>
              <w:rPr>
                <w:rFonts w:ascii="Cambria,Bold" w:hAnsi="Cambria,Bold" w:cs="Cambria,Bold"/>
                <w:b/>
                <w:bCs/>
                <w:color w:val="002060"/>
                <w:spacing w:val="-2"/>
              </w:rPr>
              <w:t>d</w:t>
            </w:r>
            <w:r>
              <w:rPr>
                <w:rFonts w:ascii="Cambria,Bold" w:hAnsi="Cambria,Bold" w:cs="Cambria,Bold"/>
                <w:b/>
                <w:bCs/>
                <w:color w:val="002060"/>
              </w:rPr>
              <w:t>ecek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6610" w:rsidRDefault="003A3C7C" w:rsidP="00E15530">
            <w:pPr>
              <w:spacing w:before="1"/>
              <w:rPr>
                <w:rFonts w:ascii="Times New Roman" w:hAnsi="Times New Roman" w:cs="Times New Roman"/>
                <w:color w:val="010302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</w:rPr>
              <w:t>Güvenlik</w:t>
            </w:r>
            <w:proofErr w:type="spellEnd"/>
            <w:r w:rsidRPr="003A3C7C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</w:rPr>
              <w:t>Görevlisi</w:t>
            </w:r>
            <w:proofErr w:type="spellEnd"/>
          </w:p>
        </w:tc>
      </w:tr>
    </w:tbl>
    <w:p w:rsidR="00786610" w:rsidRPr="00786610" w:rsidRDefault="00786610" w:rsidP="00786610">
      <w:pPr>
        <w:pStyle w:val="AralkYok"/>
        <w:rPr>
          <w:sz w:val="2"/>
        </w:rPr>
      </w:pPr>
    </w:p>
    <w:tbl>
      <w:tblPr>
        <w:tblStyle w:val="TabloKlavuzu"/>
        <w:tblpPr w:vertAnchor="text" w:horzAnchor="margin" w:tblpXSpec="center" w:tblpY="21"/>
        <w:tblOverlap w:val="never"/>
        <w:tblW w:w="9617" w:type="dxa"/>
        <w:tblLayout w:type="fixed"/>
        <w:tblLook w:val="04A0" w:firstRow="1" w:lastRow="0" w:firstColumn="1" w:lastColumn="0" w:noHBand="0" w:noVBand="1"/>
      </w:tblPr>
      <w:tblGrid>
        <w:gridCol w:w="9617"/>
      </w:tblGrid>
      <w:tr w:rsidR="00786610" w:rsidTr="00E5104D">
        <w:trPr>
          <w:trHeight w:val="340"/>
        </w:trPr>
        <w:tc>
          <w:tcPr>
            <w:tcW w:w="9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786610" w:rsidRDefault="00465B2D" w:rsidP="00465B2D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Görevin</w:t>
            </w:r>
            <w:proofErr w:type="spellEnd"/>
            <w:r w:rsidR="00786610"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 w:rsidR="00786610">
              <w:rPr>
                <w:rFonts w:ascii="Cambria,Bold" w:hAnsi="Cambria,Bold" w:cs="Cambria,Bold"/>
                <w:b/>
                <w:bCs/>
                <w:color w:val="002060"/>
              </w:rPr>
              <w:t>Tan</w:t>
            </w:r>
            <w:r w:rsidR="00786610">
              <w:rPr>
                <w:rFonts w:ascii="Cambria,Bold" w:hAnsi="Cambria,Bold" w:cs="Cambria,Bold"/>
                <w:b/>
                <w:bCs/>
                <w:color w:val="002060"/>
                <w:spacing w:val="-2"/>
              </w:rPr>
              <w:t>ı</w:t>
            </w:r>
            <w:r w:rsidR="00786610">
              <w:rPr>
                <w:rFonts w:ascii="Cambria,Bold" w:hAnsi="Cambria,Bold" w:cs="Cambria,Bold"/>
                <w:b/>
                <w:bCs/>
                <w:color w:val="002060"/>
              </w:rPr>
              <w:t>mı</w:t>
            </w:r>
            <w:proofErr w:type="spellEnd"/>
          </w:p>
        </w:tc>
      </w:tr>
      <w:tr w:rsidR="00786610" w:rsidRPr="00E5104D" w:rsidTr="00B24FE4">
        <w:trPr>
          <w:trHeight w:val="626"/>
        </w:trPr>
        <w:tc>
          <w:tcPr>
            <w:tcW w:w="9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86610" w:rsidRPr="003A3C7C" w:rsidRDefault="00523D1E" w:rsidP="003A3C7C">
            <w:pPr>
              <w:pStyle w:val="AralkYok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Munzur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Üniversitesi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üst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523D1E">
              <w:rPr>
                <w:rFonts w:ascii="Cambria" w:hAnsi="Cambria" w:cs="Cambria"/>
                <w:color w:val="000000"/>
                <w:lang w:val="en-US"/>
              </w:rPr>
              <w:t>yönetimi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proofErr w:type="gram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bağlı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bulunduğu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birimler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tarafından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belirlenen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amaç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ilkelere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;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birimin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gerekli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tüm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faaliyetlerinin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etkenlik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verimlilik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ilkelerine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yürütülmesi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amacıyla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çalışmaları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. 5188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say</w:t>
            </w:r>
            <w:r>
              <w:rPr>
                <w:rFonts w:ascii="Cambria" w:hAnsi="Cambria" w:cs="Cambria"/>
                <w:color w:val="000000"/>
                <w:lang w:val="en-US"/>
              </w:rPr>
              <w:t>ılı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yasa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kapsamında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Üniversite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bağlı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birimlerinin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koruma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güvenliğinin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sağlanması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konusunda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(24)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saat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esasına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göre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kontrolü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sağlamak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sabotaj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soygun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yangın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muhtemel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yıkıcı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faaliyetleri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önlemek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amacıyla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alınacak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tedbirler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mercilerin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vakit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geçirilmeden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uyarılması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için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yapılacak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çalışmaları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523D1E">
              <w:rPr>
                <w:rFonts w:ascii="Cambria" w:hAnsi="Cambria" w:cs="Cambria"/>
                <w:color w:val="000000"/>
                <w:lang w:val="en-US"/>
              </w:rPr>
              <w:t>kapsar</w:t>
            </w:r>
            <w:proofErr w:type="spellEnd"/>
            <w:r w:rsidRPr="00523D1E">
              <w:rPr>
                <w:rFonts w:ascii="Cambria" w:hAnsi="Cambria" w:cs="Cambria"/>
                <w:color w:val="000000"/>
                <w:lang w:val="en-US"/>
              </w:rPr>
              <w:t>.</w:t>
            </w:r>
          </w:p>
        </w:tc>
      </w:tr>
    </w:tbl>
    <w:p w:rsidR="004E19AB" w:rsidRPr="00042748" w:rsidRDefault="004E19AB" w:rsidP="00E5104D">
      <w:pPr>
        <w:pStyle w:val="AralkYok"/>
        <w:rPr>
          <w:sz w:val="20"/>
        </w:rPr>
      </w:pPr>
    </w:p>
    <w:tbl>
      <w:tblPr>
        <w:tblStyle w:val="TabloKlavuzu"/>
        <w:tblpPr w:vertAnchor="text" w:horzAnchor="margin" w:tblpY="50"/>
        <w:tblOverlap w:val="never"/>
        <w:tblW w:w="9617" w:type="dxa"/>
        <w:tblLayout w:type="fixed"/>
        <w:tblLook w:val="04A0" w:firstRow="1" w:lastRow="0" w:firstColumn="1" w:lastColumn="0" w:noHBand="0" w:noVBand="1"/>
      </w:tblPr>
      <w:tblGrid>
        <w:gridCol w:w="9617"/>
      </w:tblGrid>
      <w:tr w:rsidR="00265CC0" w:rsidTr="00042748">
        <w:trPr>
          <w:trHeight w:val="340"/>
        </w:trPr>
        <w:tc>
          <w:tcPr>
            <w:tcW w:w="9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265CC0" w:rsidRDefault="00265CC0" w:rsidP="00042748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Görev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,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Yetki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ve</w:t>
            </w:r>
            <w:proofErr w:type="spellEnd"/>
            <w:r>
              <w:rPr>
                <w:rFonts w:ascii="Cambria,Bold" w:hAnsi="Cambria,Bold" w:cs="Cambria,Bold"/>
                <w:b/>
                <w:bCs/>
                <w:color w:val="002060"/>
              </w:rPr>
              <w:t xml:space="preserve"> </w:t>
            </w:r>
            <w:proofErr w:type="spellStart"/>
            <w:r>
              <w:rPr>
                <w:rFonts w:ascii="Cambria,Bold" w:hAnsi="Cambria,Bold" w:cs="Cambria,Bold"/>
                <w:b/>
                <w:bCs/>
                <w:color w:val="002060"/>
              </w:rPr>
              <w:t>Soruml</w:t>
            </w:r>
            <w:r>
              <w:rPr>
                <w:rFonts w:ascii="Cambria,Bold" w:hAnsi="Cambria,Bold" w:cs="Cambria,Bold"/>
                <w:b/>
                <w:bCs/>
                <w:color w:val="002060"/>
                <w:spacing w:val="-2"/>
              </w:rPr>
              <w:t>u</w:t>
            </w:r>
            <w:r>
              <w:rPr>
                <w:rFonts w:ascii="Cambria,Bold" w:hAnsi="Cambria,Bold" w:cs="Cambria,Bold"/>
                <w:b/>
                <w:bCs/>
                <w:color w:val="002060"/>
              </w:rPr>
              <w:t>luklar</w:t>
            </w:r>
            <w:proofErr w:type="spellEnd"/>
          </w:p>
        </w:tc>
      </w:tr>
      <w:tr w:rsidR="00265CC0" w:rsidTr="00B24FE4">
        <w:trPr>
          <w:trHeight w:val="990"/>
        </w:trPr>
        <w:tc>
          <w:tcPr>
            <w:tcW w:w="96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A3C7C" w:rsidRPr="003A3C7C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Kurum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tarafından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belirlenen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talimatlara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göre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giriş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-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çıkış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bina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içinde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dolaşımlara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ilişkin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danışma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kabul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kayıt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kontrol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refakat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(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idarece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gerekli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görüldüğü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takdirde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),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yönlendirme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hizmetlerinin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verilmesi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bunlarla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gerekli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kontrollerin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yapılmasının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kolaylaştırılması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amacıyla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gerekli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kayıtların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tutulmasını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24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saat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kesintisiz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bu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hizmeti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vermek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3A3C7C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Kuruma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bağlı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Kampüsler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içinde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her ne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amaçla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bulunursa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bulunsun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(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ziyaretçi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öğrenci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personel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)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şahısların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huzur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emniyetini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sağlayacak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tedbirleri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yasa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kapsamında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3A3C7C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Ruhsatlı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dahi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olsa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silahlı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Kuruma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girişe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müsaade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etmemek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(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Görevli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gelen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genel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kolluk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kuvveti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mensupları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hariç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),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silahı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yazılı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kayıtlarla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teslim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emanete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muhafaza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geri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iade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işlemlerini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;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ruhsatsız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olduğu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tespit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edilen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silahlar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için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genel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kolluk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kuvvetine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bilgi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vermek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3A3C7C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Şüphe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arz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eden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koli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paket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çanta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vb.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gereçlerin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çevresinde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gerekli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güvenlik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önlemlerini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alarak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genel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kolluk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kuvvetlerine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bilgi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vermek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Mesai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saati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bitiminde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binalarda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bulunan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bütün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çalışma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odalarını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sınıfları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kontrol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ederek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iç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güvenliğin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sağlanması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gereksiz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yanan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lambaların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söndürülmesi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muslukların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kapatılması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açık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bırakılmış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>/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unutulmuş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çalışma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odaları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için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gerekli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tedbirler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alınarak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durumun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tutanakla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Güvenlik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Şefi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Amirine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bildirilmek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açık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pencerelerin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kapatılması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binaların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tamamen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boşaltılmış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olduğundan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emin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olunması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523D1E" w:rsidRPr="003A3C7C" w:rsidRDefault="00523D1E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Kuruma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gelen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telefon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aramalara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zamanında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cevap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vermek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arama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sebebine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göre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personele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yönlendirmek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>,</w:t>
            </w:r>
          </w:p>
          <w:p w:rsidR="003A3C7C" w:rsidRPr="003A3C7C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r>
              <w:rPr>
                <w:rFonts w:ascii="Cambria" w:hAnsi="Cambria" w:cs="Cambria"/>
                <w:color w:val="000000"/>
                <w:lang w:val="en-US"/>
              </w:rPr>
              <w:t>Bina</w:t>
            </w:r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çevresinin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kontrolünü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izinsiz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girişleri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engellemek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Güvenlik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nöbet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noktalarına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iş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ilgisi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olmayan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şahısların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girmesini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engellemek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bu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şahıslara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ait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çanta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kitap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anahtar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paket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zarf vb.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malzemeleri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emanet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almamak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3A3C7C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Mesai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saatleri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dışında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çalışma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izni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bulunmay</w:t>
            </w:r>
            <w:r>
              <w:rPr>
                <w:rFonts w:ascii="Cambria" w:hAnsi="Cambria" w:cs="Cambria"/>
                <w:color w:val="000000"/>
                <w:lang w:val="en-US"/>
              </w:rPr>
              <w:t>an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varsa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çalışma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izni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için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(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sözlü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verildiği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söylenen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izinler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için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)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teyit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alınamayan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personelin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>/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öğrencilerin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binaların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içine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girmelerine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odaları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kullanmalarına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engel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.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Çalışma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iznini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yazılı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belgeleyen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personelin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>/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öğrencinin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bilgilerini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giriş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-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çıkış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saatlerini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kayıt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altına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alarak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şahsın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tutulan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kayıt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altına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imza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atmasını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sağlamak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3A3C7C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Kuruma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mensuplarına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yönelik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her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türlü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sabotaj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hırsızlık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gasp,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saldırı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tehdit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tehlikelere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bina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içerisinde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engel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bu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olaylara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yönelik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yönetimce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verilen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talimatlar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doğrultusunda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dedektör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üst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araması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gerekli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tedbirleri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şüpheli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durumlarda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vardiya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sorumlusu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güvenlik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şefi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Amirine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genel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kolluk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kuvvetlerine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bilgi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vermek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3A3C7C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Kampüse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dışarıdan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getirilen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veya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Kampüs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dışına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çıkartılmak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istenen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eşya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>/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demirbaş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hakkında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birimi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bilgi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vermek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birimden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teyit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çıkartılan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eşya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>/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demirbaş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çıkaranlarla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lastRenderedPageBreak/>
              <w:t>ilgili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tüm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bilgileri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(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araç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plakası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şahısların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kimliği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hangi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birimden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/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kimden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teslim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alındığı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vb.)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kayıt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altına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3A3C7C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Nokta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devriye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hizmetlerini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24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saat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kesintisiz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sürdürmek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maddi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manevi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oluşabilecek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zararlara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karşı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i</w:t>
            </w:r>
            <w:r w:rsidR="00B24FE4">
              <w:rPr>
                <w:rFonts w:ascii="Cambria" w:hAnsi="Cambria" w:cs="Cambria"/>
                <w:color w:val="000000"/>
                <w:lang w:val="en-US"/>
              </w:rPr>
              <w:t>dareye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bilgi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vermek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İdarece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belirlenen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saatlerde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bina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kapılarını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kapatmak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belirlenen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saatten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sonra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izinsiz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girişleri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engellemek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3A3C7C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Kuruma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ait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demirbaşlara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sarf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malzemelerine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zarar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verilmesini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engellemek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3A3C7C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Kampüs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içine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özel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izin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olmadan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pazarlamacı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satıcı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vb.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girişini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engellemek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1E049F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Buluntu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eşyanın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ilgilisine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teslimini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sağlamak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(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teslim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alma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teslim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etme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tutanakla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belgelendirilecektir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.),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sahibi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bulunamayan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eşyayı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idareye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teslim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etmek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1E049F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Kurumda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huzuru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güveni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asayişi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bozucu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hareketlere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engel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bu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tip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davranışlarda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bulunan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şahısları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gerekirse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E049F">
              <w:rPr>
                <w:rFonts w:ascii="Cambria" w:hAnsi="Cambria" w:cs="Cambria"/>
                <w:color w:val="000000"/>
                <w:lang w:val="en-US"/>
              </w:rPr>
              <w:t>idari</w:t>
            </w:r>
            <w:proofErr w:type="spellEnd"/>
            <w:r w:rsid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E049F">
              <w:rPr>
                <w:rFonts w:ascii="Cambria" w:hAnsi="Cambria" w:cs="Cambria"/>
                <w:color w:val="000000"/>
                <w:lang w:val="en-US"/>
              </w:rPr>
              <w:t>bina</w:t>
            </w:r>
            <w:proofErr w:type="spellEnd"/>
            <w:r w:rsid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sınırları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dışına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çıkartmak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>/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veya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kolluk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kuvvetlerine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olay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intikal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ettirilinceye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kadar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gözetim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altında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bulundurmak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durum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hakkında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tutanak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tutmak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>,</w:t>
            </w:r>
          </w:p>
          <w:p w:rsidR="003A3C7C" w:rsidRPr="001E049F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Afet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durumlarında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ekipmanların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yeterli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ölçüde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bulunması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halinde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kendi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can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güvenliğini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öncelikle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sağlamak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üzere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ilk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müdahalede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bulunmak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acil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müdahale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telefonlarını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(110,112,155,185,186,187)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arayarak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bilgi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vermek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1E049F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Koruma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-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güvenlik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gözetim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kontrol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denetim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konularında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her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gün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düzenli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nöbet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noktalarında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çalışan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güvenlik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görevlilerince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tutulan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nöbet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vukuat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tutanakları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devriye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görevi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yapan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güvenlik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görevlilerince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tutulan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devriye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vukuat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tutanakları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tutmak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1E049F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Kuruma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gelmiş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evrak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paket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</w:t>
            </w:r>
            <w:r w:rsidR="001E049F">
              <w:rPr>
                <w:rFonts w:ascii="Cambria" w:hAnsi="Cambria" w:cs="Cambria"/>
                <w:color w:val="000000"/>
                <w:lang w:val="en-US"/>
              </w:rPr>
              <w:t>oli</w:t>
            </w:r>
            <w:proofErr w:type="spellEnd"/>
            <w:r w:rsidR="001E049F">
              <w:rPr>
                <w:rFonts w:ascii="Cambria" w:hAnsi="Cambria" w:cs="Cambria"/>
                <w:color w:val="000000"/>
                <w:lang w:val="en-US"/>
              </w:rPr>
              <w:t xml:space="preserve"> vb. </w:t>
            </w:r>
            <w:proofErr w:type="spellStart"/>
            <w:r w:rsidR="001E049F">
              <w:rPr>
                <w:rFonts w:ascii="Cambria" w:hAnsi="Cambria" w:cs="Cambria"/>
                <w:color w:val="000000"/>
                <w:lang w:val="en-US"/>
              </w:rPr>
              <w:t>malzemeyi</w:t>
            </w:r>
            <w:proofErr w:type="spellEnd"/>
            <w:r w:rsid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E049F">
              <w:rPr>
                <w:rFonts w:ascii="Cambria" w:hAnsi="Cambria" w:cs="Cambria"/>
                <w:color w:val="000000"/>
                <w:lang w:val="en-US"/>
              </w:rPr>
              <w:t>kontrollü</w:t>
            </w:r>
            <w:proofErr w:type="spellEnd"/>
            <w:r w:rsid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E049F">
              <w:rPr>
                <w:rFonts w:ascii="Cambria" w:hAnsi="Cambria" w:cs="Cambria"/>
                <w:color w:val="000000"/>
                <w:lang w:val="en-US"/>
              </w:rPr>
              <w:t>teslim</w:t>
            </w:r>
            <w:proofErr w:type="spellEnd"/>
            <w:r w:rsid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E049F">
              <w:rPr>
                <w:rFonts w:ascii="Cambria" w:hAnsi="Cambria" w:cs="Cambria"/>
                <w:color w:val="000000"/>
                <w:lang w:val="en-US"/>
              </w:rPr>
              <w:t>almak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teslim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edilmesi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gereken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birime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yönlendirme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şüphe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arz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eden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paket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vb.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malzeme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hakkında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İdareye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bilgi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vermek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1E049F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Kurumla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iş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akdi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</w:t>
            </w:r>
            <w:r w:rsidR="001E049F">
              <w:rPr>
                <w:rFonts w:ascii="Cambria" w:hAnsi="Cambria" w:cs="Cambria"/>
                <w:color w:val="000000"/>
                <w:lang w:val="en-US"/>
              </w:rPr>
              <w:t>lan</w:t>
            </w:r>
            <w:proofErr w:type="spellEnd"/>
            <w:r w:rsid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E049F">
              <w:rPr>
                <w:rFonts w:ascii="Cambria" w:hAnsi="Cambria" w:cs="Cambria"/>
                <w:color w:val="000000"/>
                <w:lang w:val="en-US"/>
              </w:rPr>
              <w:t>diğer</w:t>
            </w:r>
            <w:proofErr w:type="spellEnd"/>
            <w:r w:rsid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E049F">
              <w:rPr>
                <w:rFonts w:ascii="Cambria" w:hAnsi="Cambria" w:cs="Cambria"/>
                <w:color w:val="000000"/>
                <w:lang w:val="en-US"/>
              </w:rPr>
              <w:t>işveren</w:t>
            </w:r>
            <w:proofErr w:type="spellEnd"/>
            <w:r w:rsid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E049F">
              <w:rPr>
                <w:rFonts w:ascii="Cambria" w:hAnsi="Cambria" w:cs="Cambria"/>
                <w:color w:val="000000"/>
                <w:lang w:val="en-US"/>
              </w:rPr>
              <w:t>firmaların</w:t>
            </w:r>
            <w:proofErr w:type="spellEnd"/>
            <w:r w:rsidR="001E049F">
              <w:rPr>
                <w:rFonts w:ascii="Cambria" w:hAnsi="Cambria" w:cs="Cambria"/>
                <w:color w:val="000000"/>
                <w:lang w:val="en-US"/>
              </w:rPr>
              <w:t>, (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yemek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inşaat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kantin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r w:rsidR="007A52FD" w:rsidRPr="003A3C7C">
              <w:rPr>
                <w:rFonts w:ascii="Cambria" w:hAnsi="Cambria" w:cs="Cambria"/>
                <w:color w:val="000000"/>
                <w:lang w:val="en-US"/>
              </w:rPr>
              <w:t>vb.)</w:t>
            </w:r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Kuruma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ait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herhangi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demirbaş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eşyaya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binaya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Kampüse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zarar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vermemesini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sağlamak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bu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firmaların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çalışanlarının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genel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huzur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güven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disiplin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asayişi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bozacak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şekilde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davranmalarına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engel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olmak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;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aksi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davranışları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yazılı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şekilde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rapor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etmek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1E049F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Kampüslerde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bulunan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binalara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ziyaret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amaçlı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gelen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şahıslar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için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bu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binalarda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görevli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güvenlik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personeli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tarafından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şahıs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>/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birim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aranarak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teyit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alınması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ziyaretçinin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idarece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verilen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talimatlar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doğrultusunda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şahısla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>/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birimle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görüşmesinin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sağlanması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(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gerekli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kimlik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tespitleri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yapılarak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ziyaretçi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kartı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verilerek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), </w:t>
            </w:r>
          </w:p>
          <w:p w:rsidR="003A3C7C" w:rsidRPr="001E049F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İdarece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1E049F">
              <w:rPr>
                <w:rFonts w:ascii="Cambria" w:hAnsi="Cambria" w:cs="Cambria"/>
                <w:color w:val="000000"/>
                <w:lang w:val="en-US"/>
              </w:rPr>
              <w:t>bahçe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içinde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park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yapılması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görülmeyen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alanlara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trafiği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aksatacak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şekilde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araç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park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edilmesinin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1E049F">
              <w:rPr>
                <w:rFonts w:ascii="Cambria" w:hAnsi="Cambria" w:cs="Cambria"/>
                <w:color w:val="000000"/>
                <w:lang w:val="en-US"/>
              </w:rPr>
              <w:t>engellenmesi</w:t>
            </w:r>
            <w:proofErr w:type="spellEnd"/>
            <w:r w:rsidRPr="001E049F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3A3C7C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Personelin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ziyaretçilerin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öğrencilerin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konulan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kurallara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uymalarını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temin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etmek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Yönetimin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</w:p>
          <w:p w:rsidR="003A3C7C" w:rsidRPr="007A52FD" w:rsidRDefault="003A3C7C" w:rsidP="00DB58FE">
            <w:pPr>
              <w:pStyle w:val="AralkYok"/>
              <w:spacing w:line="276" w:lineRule="auto"/>
              <w:ind w:left="442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talebi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doğrultusunda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mensup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ziyaretçilerin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verilen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yetki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dahilinde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detektör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üst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aramalarını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gözetim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altında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bulundurmak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3A3C7C" w:rsidRPr="007A52FD" w:rsidRDefault="007A52FD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Bahçe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>duvarlarının</w:t>
            </w:r>
            <w:proofErr w:type="spellEnd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>demir</w:t>
            </w:r>
            <w:proofErr w:type="spellEnd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>parmaklıklarının</w:t>
            </w:r>
            <w:proofErr w:type="spellEnd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 xml:space="preserve"> (</w:t>
            </w:r>
            <w:proofErr w:type="spellStart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>tel</w:t>
            </w:r>
            <w:proofErr w:type="spellEnd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>örgüler</w:t>
            </w:r>
            <w:proofErr w:type="spellEnd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>dahil</w:t>
            </w:r>
            <w:proofErr w:type="spellEnd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 xml:space="preserve">) </w:t>
            </w:r>
            <w:proofErr w:type="spellStart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>düzenli</w:t>
            </w:r>
            <w:proofErr w:type="spellEnd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 xml:space="preserve"> her </w:t>
            </w:r>
            <w:proofErr w:type="spellStart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>gün</w:t>
            </w:r>
            <w:proofErr w:type="spellEnd"/>
            <w:r w:rsidR="003A3C7C"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>kontrollerinin</w:t>
            </w:r>
            <w:proofErr w:type="spellEnd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>yapılması</w:t>
            </w:r>
            <w:proofErr w:type="spellEnd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>, (</w:t>
            </w:r>
            <w:proofErr w:type="spellStart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>varsa</w:t>
            </w:r>
            <w:proofErr w:type="spellEnd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 xml:space="preserve">) </w:t>
            </w:r>
            <w:proofErr w:type="spellStart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>hasar</w:t>
            </w:r>
            <w:proofErr w:type="spellEnd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>tespiti</w:t>
            </w:r>
            <w:proofErr w:type="spellEnd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>yapılması</w:t>
            </w:r>
            <w:proofErr w:type="spellEnd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>tutanakla</w:t>
            </w:r>
            <w:proofErr w:type="spellEnd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>rapor</w:t>
            </w:r>
            <w:proofErr w:type="spellEnd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>edilmesi</w:t>
            </w:r>
            <w:proofErr w:type="spellEnd"/>
            <w:r w:rsidR="003A3C7C" w:rsidRPr="007A52FD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7A52FD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Kampüs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içine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duvarlara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binaların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herhangi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bir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yerine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Yönetimce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verilmiş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izin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olmadan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afiş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pankart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fotoğraf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vb.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yapıştırılması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yazılar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yazılmasına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engel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olmak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asılacak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ilan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pankart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afiş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vb.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Yönetimce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veya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Yönetimin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yetki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verdiği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kişilerce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izinli</w:t>
            </w:r>
            <w:proofErr w:type="spellEnd"/>
            <w:r w:rsid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7A52FD">
              <w:rPr>
                <w:rFonts w:ascii="Cambria" w:hAnsi="Cambria" w:cs="Cambria"/>
                <w:color w:val="000000"/>
                <w:lang w:val="en-US"/>
              </w:rPr>
              <w:t>olup</w:t>
            </w:r>
            <w:proofErr w:type="spellEnd"/>
            <w:r w:rsid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7A52FD">
              <w:rPr>
                <w:rFonts w:ascii="Cambria" w:hAnsi="Cambria" w:cs="Cambria"/>
                <w:color w:val="000000"/>
                <w:lang w:val="en-US"/>
              </w:rPr>
              <w:t>olmadığını</w:t>
            </w:r>
            <w:proofErr w:type="spellEnd"/>
            <w:r w:rsid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7A52FD">
              <w:rPr>
                <w:rFonts w:ascii="Cambria" w:hAnsi="Cambria" w:cs="Cambria"/>
                <w:color w:val="000000"/>
                <w:lang w:val="en-US"/>
              </w:rPr>
              <w:t>teyit</w:t>
            </w:r>
            <w:proofErr w:type="spellEnd"/>
            <w:r w:rsid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7A52FD">
              <w:rPr>
                <w:rFonts w:ascii="Cambria" w:hAnsi="Cambria" w:cs="Cambria"/>
                <w:color w:val="000000"/>
                <w:lang w:val="en-US"/>
              </w:rPr>
              <w:t>etmek</w:t>
            </w:r>
            <w:proofErr w:type="spellEnd"/>
            <w:r w:rsid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7A52FD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Yönetimce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görülen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ilan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noktalarına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asılmasını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sağlamak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</w:p>
          <w:p w:rsidR="007A52FD" w:rsidRDefault="007A52FD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Görevi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süreçleri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Üniversitemiz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Kalite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Politikası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Kalite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Yönetim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Sistemi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çerçevesinde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kalite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hedefleri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prose</w:t>
            </w:r>
            <w:r>
              <w:rPr>
                <w:rFonts w:ascii="Cambria" w:hAnsi="Cambria" w:cs="Cambria"/>
                <w:color w:val="000000"/>
                <w:lang w:val="en-US"/>
              </w:rPr>
              <w:t>dürlerine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yürütmek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>,</w:t>
            </w:r>
          </w:p>
          <w:p w:rsidR="007A52FD" w:rsidRPr="007A52FD" w:rsidRDefault="007A52FD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Bağlı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bulunduğu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yönetici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veya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üst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yöneticilerin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görev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alanı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ile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ilgili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vereceği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diğer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işleri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iş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sağlığı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güvenliği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kurallarına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yapmak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>,</w:t>
            </w:r>
          </w:p>
          <w:p w:rsidR="003A3C7C" w:rsidRPr="007A52FD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Sayılan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görevler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haftanın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7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günü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, 24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saat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(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Ulusal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dini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Bayramlar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Genel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Tatil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günleri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)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lastRenderedPageBreak/>
              <w:t>aksatılmadan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(4857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Sayılı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İş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Kanunu’nda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belirlenen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haftalık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çalışma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saatini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aşmayacak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şekilde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)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yönetimin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belirlediği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sayıdaki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elemanla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Yönetimce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istenen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şekilde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sürdürülecektir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.  </w:t>
            </w:r>
          </w:p>
          <w:p w:rsidR="007A52FD" w:rsidRDefault="003A3C7C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5188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sayılı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kanun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bu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kanunun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uygulanmasına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ilişkin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yönetmelik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esasları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dahilindeki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3A3C7C">
              <w:rPr>
                <w:rFonts w:ascii="Cambria" w:hAnsi="Cambria" w:cs="Cambria"/>
                <w:color w:val="000000"/>
                <w:lang w:val="en-US"/>
              </w:rPr>
              <w:t>yetkilerini</w:t>
            </w:r>
            <w:proofErr w:type="spellEnd"/>
            <w:r w:rsidRPr="003A3C7C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kullanmak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>,</w:t>
            </w:r>
            <w:r w:rsidR="00265CC0" w:rsidRPr="00F1318A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</w:p>
          <w:p w:rsidR="007A52FD" w:rsidRPr="000C3C22" w:rsidRDefault="007A52FD" w:rsidP="00B24FE4">
            <w:pPr>
              <w:pStyle w:val="AralkYok"/>
              <w:numPr>
                <w:ilvl w:val="0"/>
                <w:numId w:val="2"/>
              </w:numPr>
              <w:spacing w:line="276" w:lineRule="auto"/>
              <w:ind w:left="442" w:hanging="357"/>
              <w:jc w:val="both"/>
              <w:rPr>
                <w:rFonts w:ascii="Cambria" w:hAnsi="Cambria" w:cs="Cambria"/>
                <w:color w:val="000000"/>
                <w:lang w:val="en-US"/>
              </w:rPr>
            </w:pP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Güvenlik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Görevlisi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,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yukarıda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yazılı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olan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bütün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bu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görevleri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kanunlara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yönetmeliklere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uygun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olarak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yerine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getirirken</w:t>
            </w:r>
            <w:proofErr w:type="spellEnd"/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r w:rsidRPr="003A3C7C">
              <w:rPr>
                <w:rFonts w:ascii="Cambria" w:hAnsi="Cambria" w:cs="Cambria"/>
                <w:color w:val="000000"/>
              </w:rPr>
              <w:t xml:space="preserve"> Güvenlik Şefi, Güvenlik Amiri Şube Müdürü</w:t>
            </w:r>
            <w:r>
              <w:rPr>
                <w:rFonts w:ascii="Cambria" w:hAnsi="Cambria" w:cs="Cambria"/>
                <w:color w:val="000000"/>
              </w:rPr>
              <w:t>,</w:t>
            </w:r>
            <w:r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lang w:val="en-US"/>
              </w:rPr>
              <w:t>Yüksekokul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Sekreterine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, </w:t>
            </w:r>
            <w:proofErr w:type="spellStart"/>
            <w:r w:rsidRPr="007A52FD">
              <w:rPr>
                <w:rFonts w:ascii="Cambria" w:hAnsi="Cambria" w:cs="Cambria"/>
                <w:color w:val="000000"/>
                <w:lang w:val="en-US"/>
              </w:rPr>
              <w:t>Yüksekokul</w:t>
            </w:r>
            <w:proofErr w:type="spellEnd"/>
            <w:r w:rsidR="00B24FE4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24FE4">
              <w:rPr>
                <w:rFonts w:ascii="Cambria" w:hAnsi="Cambria" w:cs="Cambria"/>
                <w:color w:val="000000"/>
                <w:lang w:val="en-US"/>
              </w:rPr>
              <w:t>Müdür</w:t>
            </w:r>
            <w:proofErr w:type="spellEnd"/>
            <w:r w:rsidR="00B24FE4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B24FE4">
              <w:rPr>
                <w:rFonts w:ascii="Cambria" w:hAnsi="Cambria" w:cs="Cambria"/>
                <w:color w:val="000000"/>
                <w:lang w:val="en-US"/>
              </w:rPr>
              <w:t>Yardımcılarına</w:t>
            </w:r>
            <w:proofErr w:type="spellEnd"/>
            <w:r w:rsidRPr="007A52FD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0C3C22">
              <w:rPr>
                <w:rFonts w:ascii="Cambria" w:hAnsi="Cambria" w:cs="Cambria"/>
                <w:color w:val="000000"/>
                <w:lang w:val="en-US"/>
              </w:rPr>
              <w:t>ve</w:t>
            </w:r>
            <w:proofErr w:type="spellEnd"/>
            <w:r w:rsidR="000C3C22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0C3C22">
              <w:rPr>
                <w:rFonts w:ascii="Cambria" w:hAnsi="Cambria" w:cs="Cambria"/>
                <w:color w:val="000000"/>
                <w:lang w:val="en-US"/>
              </w:rPr>
              <w:t>Yüksekokul</w:t>
            </w:r>
            <w:proofErr w:type="spellEnd"/>
            <w:r w:rsidR="000C3C22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="000C3C22">
              <w:rPr>
                <w:rFonts w:ascii="Cambria" w:hAnsi="Cambria" w:cs="Cambria"/>
                <w:color w:val="000000"/>
                <w:lang w:val="en-US"/>
              </w:rPr>
              <w:t>Müdürüne</w:t>
            </w:r>
            <w:proofErr w:type="spellEnd"/>
            <w:r w:rsidR="000C3C22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0C3C22">
              <w:rPr>
                <w:rFonts w:ascii="Cambria" w:hAnsi="Cambria" w:cs="Cambria"/>
                <w:color w:val="000000"/>
                <w:lang w:val="en-US"/>
              </w:rPr>
              <w:t>karşı</w:t>
            </w:r>
            <w:proofErr w:type="spellEnd"/>
            <w:r w:rsidRPr="000C3C22">
              <w:rPr>
                <w:rFonts w:ascii="Cambria" w:hAnsi="Cambria" w:cs="Cambria"/>
                <w:color w:val="000000"/>
                <w:lang w:val="en-US"/>
              </w:rPr>
              <w:t xml:space="preserve"> </w:t>
            </w:r>
            <w:proofErr w:type="spellStart"/>
            <w:r w:rsidRPr="000C3C22">
              <w:rPr>
                <w:rFonts w:ascii="Cambria" w:hAnsi="Cambria" w:cs="Cambria"/>
                <w:color w:val="000000"/>
                <w:lang w:val="en-US"/>
              </w:rPr>
              <w:t>sorumludur</w:t>
            </w:r>
            <w:proofErr w:type="spellEnd"/>
            <w:r w:rsidRPr="000C3C22">
              <w:rPr>
                <w:rFonts w:ascii="Cambria" w:hAnsi="Cambria" w:cs="Cambria"/>
                <w:color w:val="000000"/>
                <w:lang w:val="en-US"/>
              </w:rPr>
              <w:t>.</w:t>
            </w:r>
          </w:p>
        </w:tc>
      </w:tr>
    </w:tbl>
    <w:p w:rsidR="00786610" w:rsidRPr="00042748" w:rsidRDefault="00786610" w:rsidP="00265CC0">
      <w:pPr>
        <w:pStyle w:val="AralkYok"/>
        <w:rPr>
          <w:sz w:val="20"/>
        </w:rPr>
      </w:pPr>
    </w:p>
    <w:tbl>
      <w:tblPr>
        <w:tblStyle w:val="TabloKlavuzu"/>
        <w:tblpPr w:vertAnchor="text" w:horzAnchor="margin" w:tblpY="45"/>
        <w:tblOverlap w:val="never"/>
        <w:tblW w:w="9752" w:type="dxa"/>
        <w:tblLayout w:type="fixed"/>
        <w:tblLook w:val="04A0" w:firstRow="1" w:lastRow="0" w:firstColumn="1" w:lastColumn="0" w:noHBand="0" w:noVBand="1"/>
      </w:tblPr>
      <w:tblGrid>
        <w:gridCol w:w="4876"/>
        <w:gridCol w:w="4876"/>
      </w:tblGrid>
      <w:tr w:rsidR="00F1318A" w:rsidTr="00042748">
        <w:trPr>
          <w:trHeight w:val="340"/>
        </w:trPr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F1318A" w:rsidRPr="00F1318A" w:rsidRDefault="00F1318A" w:rsidP="00042748">
            <w:pPr>
              <w:jc w:val="center"/>
              <w:rPr>
                <w:rFonts w:ascii="Cambria,Bold" w:hAnsi="Cambria,Bold" w:cs="Cambria,Bold"/>
                <w:b/>
                <w:bCs/>
                <w:color w:val="002060"/>
              </w:rPr>
            </w:pPr>
            <w:r w:rsidRPr="00F1318A">
              <w:rPr>
                <w:rFonts w:ascii="Cambria,Bold" w:hAnsi="Cambria,Bold" w:cs="Cambria,Bold"/>
                <w:b/>
                <w:bCs/>
                <w:color w:val="002060"/>
              </w:rPr>
              <w:t>TEBELLÜĞ EDEN</w:t>
            </w:r>
          </w:p>
        </w:tc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:rsidR="00F1318A" w:rsidRPr="00F1318A" w:rsidRDefault="00F1318A" w:rsidP="00042748">
            <w:pPr>
              <w:jc w:val="center"/>
              <w:rPr>
                <w:rFonts w:ascii="Cambria,Bold" w:hAnsi="Cambria,Bold" w:cs="Cambria,Bold"/>
                <w:b/>
                <w:bCs/>
                <w:color w:val="002060"/>
              </w:rPr>
            </w:pPr>
            <w:r w:rsidRPr="00F1318A">
              <w:rPr>
                <w:rFonts w:ascii="Cambria,Bold" w:hAnsi="Cambria,Bold" w:cs="Cambria,Bold"/>
                <w:b/>
                <w:bCs/>
                <w:color w:val="002060"/>
              </w:rPr>
              <w:t>ONAY</w:t>
            </w:r>
          </w:p>
        </w:tc>
      </w:tr>
      <w:tr w:rsidR="00F1318A" w:rsidTr="00042748">
        <w:trPr>
          <w:trHeight w:val="764"/>
        </w:trPr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1318A" w:rsidRPr="00F1318A" w:rsidRDefault="00F1318A" w:rsidP="00042748">
            <w:pPr>
              <w:spacing w:before="3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Bu </w:t>
            </w:r>
            <w:proofErr w:type="spellStart"/>
            <w:r>
              <w:rPr>
                <w:rFonts w:ascii="Cambria" w:hAnsi="Cambria" w:cs="Cambria"/>
                <w:color w:val="000000"/>
              </w:rPr>
              <w:t>dokümanda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Pr="00F1318A">
              <w:rPr>
                <w:rFonts w:ascii="Cambria" w:hAnsi="Cambria" w:cs="Cambria"/>
                <w:color w:val="000000"/>
              </w:rPr>
              <w:t>a</w:t>
            </w:r>
            <w:r>
              <w:rPr>
                <w:rFonts w:ascii="Cambria" w:hAnsi="Cambria" w:cs="Cambria"/>
                <w:color w:val="000000"/>
              </w:rPr>
              <w:t>çık</w:t>
            </w:r>
            <w:r w:rsidRPr="00F1318A">
              <w:rPr>
                <w:rFonts w:ascii="Cambria" w:hAnsi="Cambria" w:cs="Cambria"/>
                <w:color w:val="000000"/>
              </w:rPr>
              <w:t>l</w:t>
            </w:r>
            <w:r w:rsidR="002E5E18">
              <w:rPr>
                <w:rFonts w:ascii="Cambria" w:hAnsi="Cambria" w:cs="Cambria"/>
                <w:color w:val="000000"/>
              </w:rPr>
              <w:t>anan</w:t>
            </w:r>
            <w:proofErr w:type="spellEnd"/>
            <w:r w:rsidR="002E5E18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2E5E18">
              <w:rPr>
                <w:rFonts w:ascii="Cambria" w:hAnsi="Cambria" w:cs="Cambria"/>
                <w:color w:val="000000"/>
              </w:rPr>
              <w:t>görev</w:t>
            </w:r>
            <w:proofErr w:type="spellEnd"/>
            <w:r w:rsidR="002E5E18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2E5E18">
              <w:rPr>
                <w:rFonts w:ascii="Cambria" w:hAnsi="Cambria" w:cs="Cambria"/>
                <w:color w:val="000000"/>
              </w:rPr>
              <w:t>tanımını</w:t>
            </w:r>
            <w:proofErr w:type="spellEnd"/>
            <w:r w:rsidR="002E5E18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okudum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 w:cs="Cambria"/>
                <w:color w:val="000000"/>
              </w:rPr>
              <w:t>ye</w:t>
            </w:r>
            <w:r w:rsidRPr="00F1318A">
              <w:rPr>
                <w:rFonts w:ascii="Cambria" w:hAnsi="Cambria" w:cs="Cambria"/>
                <w:color w:val="000000"/>
              </w:rPr>
              <w:t>r</w:t>
            </w:r>
            <w:r>
              <w:rPr>
                <w:rFonts w:ascii="Cambria" w:hAnsi="Cambria" w:cs="Cambria"/>
                <w:color w:val="000000"/>
              </w:rPr>
              <w:t>ine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geti</w:t>
            </w:r>
            <w:r w:rsidRPr="00F1318A">
              <w:rPr>
                <w:rFonts w:ascii="Cambria" w:hAnsi="Cambria" w:cs="Cambria"/>
                <w:color w:val="000000"/>
              </w:rPr>
              <w:t>r</w:t>
            </w:r>
            <w:r w:rsidR="002E5E18">
              <w:rPr>
                <w:rFonts w:ascii="Cambria" w:hAnsi="Cambria" w:cs="Cambria"/>
                <w:color w:val="000000"/>
              </w:rPr>
              <w:t>meyi</w:t>
            </w:r>
            <w:proofErr w:type="spellEnd"/>
            <w:r w:rsidR="002E5E18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2E5E18">
              <w:rPr>
                <w:rFonts w:ascii="Cambria" w:hAnsi="Cambria" w:cs="Cambria"/>
                <w:color w:val="000000"/>
              </w:rPr>
              <w:t>kabul</w:t>
            </w:r>
            <w:proofErr w:type="spellEnd"/>
            <w:r w:rsidR="002E5E18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2E5E18">
              <w:rPr>
                <w:rFonts w:ascii="Cambria" w:hAnsi="Cambria" w:cs="Cambria"/>
                <w:color w:val="000000"/>
              </w:rPr>
              <w:t>ve</w:t>
            </w:r>
            <w:proofErr w:type="spellEnd"/>
            <w:r w:rsidR="002E5E18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 w:rsidR="002E5E18">
              <w:rPr>
                <w:rFonts w:ascii="Cambria" w:hAnsi="Cambria" w:cs="Cambria"/>
                <w:color w:val="000000"/>
              </w:rPr>
              <w:t>taahhüt</w:t>
            </w:r>
            <w:proofErr w:type="spellEnd"/>
            <w:r w:rsidR="002E5E18">
              <w:rPr>
                <w:rFonts w:ascii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</w:rPr>
              <w:t>ederim</w:t>
            </w:r>
            <w:proofErr w:type="spellEnd"/>
            <w:r>
              <w:rPr>
                <w:rFonts w:ascii="Cambria" w:hAnsi="Cambria" w:cs="Cambria"/>
                <w:color w:val="000000"/>
              </w:rPr>
              <w:t xml:space="preserve">.  </w:t>
            </w:r>
          </w:p>
        </w:tc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F1318A" w:rsidRPr="00F1318A" w:rsidRDefault="00F1318A" w:rsidP="00042748">
            <w:pPr>
              <w:pStyle w:val="AralkYok"/>
              <w:rPr>
                <w:rFonts w:ascii="Cambria" w:hAnsi="Cambria" w:cs="Cambria"/>
                <w:color w:val="000000"/>
                <w:lang w:val="en-US"/>
              </w:rPr>
            </w:pPr>
          </w:p>
        </w:tc>
      </w:tr>
      <w:tr w:rsidR="00F1318A" w:rsidTr="00042748">
        <w:trPr>
          <w:trHeight w:val="1794"/>
        </w:trPr>
        <w:tc>
          <w:tcPr>
            <w:tcW w:w="4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4248" w:rsidRDefault="00A14248" w:rsidP="00A14248">
            <w:pPr>
              <w:spacing w:before="210"/>
              <w:jc w:val="center"/>
              <w:rPr>
                <w:rFonts w:ascii="Cambria,Bold" w:hAnsi="Cambria,Bold" w:cs="Cambria,Bold"/>
                <w:bCs/>
                <w:color w:val="002060"/>
              </w:rPr>
            </w:pPr>
            <w:r>
              <w:rPr>
                <w:rFonts w:ascii="Cambria,Bold" w:hAnsi="Cambria,Bold" w:cs="Cambria,Bold"/>
                <w:bCs/>
                <w:color w:val="002060"/>
              </w:rPr>
              <w:t>… / … / 2024</w:t>
            </w:r>
          </w:p>
          <w:p w:rsidR="00A14248" w:rsidRDefault="00A14248" w:rsidP="00A14248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</w:p>
          <w:p w:rsidR="00A14248" w:rsidRDefault="00A14248" w:rsidP="00A14248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  <w:r>
              <w:rPr>
                <w:rFonts w:ascii="Cambria,Bold" w:hAnsi="Cambria,Bold" w:cs="Cambria,Bold"/>
                <w:bCs/>
                <w:color w:val="002060"/>
                <w:lang w:val="en-US"/>
              </w:rPr>
              <w:t>Ad-</w:t>
            </w:r>
            <w:proofErr w:type="spellStart"/>
            <w:r>
              <w:rPr>
                <w:rFonts w:ascii="Cambria,Bold" w:hAnsi="Cambria,Bold" w:cs="Cambria,Bold"/>
                <w:bCs/>
                <w:color w:val="002060"/>
                <w:lang w:val="en-US"/>
              </w:rPr>
              <w:t>Soyad</w:t>
            </w:r>
            <w:proofErr w:type="spellEnd"/>
          </w:p>
          <w:p w:rsidR="00F1318A" w:rsidRPr="00F1318A" w:rsidRDefault="00A14248" w:rsidP="00A14248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  <w:r>
              <w:rPr>
                <w:rFonts w:ascii="Cambria,Bold" w:hAnsi="Cambria,Bold" w:cs="Cambria,Bold"/>
                <w:bCs/>
                <w:color w:val="002060"/>
              </w:rPr>
              <w:t>İmza</w:t>
            </w:r>
          </w:p>
        </w:tc>
        <w:tc>
          <w:tcPr>
            <w:tcW w:w="48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14248" w:rsidRDefault="00A14248" w:rsidP="00A14248">
            <w:pPr>
              <w:spacing w:before="210"/>
              <w:jc w:val="center"/>
              <w:rPr>
                <w:rFonts w:ascii="Cambria,Bold" w:hAnsi="Cambria,Bold" w:cs="Cambria,Bold"/>
                <w:bCs/>
                <w:color w:val="002060"/>
              </w:rPr>
            </w:pPr>
            <w:r>
              <w:rPr>
                <w:rFonts w:ascii="Cambria,Bold" w:hAnsi="Cambria,Bold" w:cs="Cambria,Bold"/>
                <w:bCs/>
                <w:color w:val="002060"/>
              </w:rPr>
              <w:t>… / … / 2024</w:t>
            </w:r>
          </w:p>
          <w:p w:rsidR="00A14248" w:rsidRDefault="00A14248" w:rsidP="00A14248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</w:p>
          <w:p w:rsidR="00A14248" w:rsidRDefault="00A14248" w:rsidP="00A14248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  <w:r>
              <w:rPr>
                <w:rFonts w:ascii="Cambria,Bold" w:hAnsi="Cambria,Bold" w:cs="Cambria,Bold"/>
                <w:bCs/>
                <w:color w:val="002060"/>
                <w:lang w:val="en-US"/>
              </w:rPr>
              <w:t>Ad-</w:t>
            </w:r>
            <w:proofErr w:type="spellStart"/>
            <w:r>
              <w:rPr>
                <w:rFonts w:ascii="Cambria,Bold" w:hAnsi="Cambria,Bold" w:cs="Cambria,Bold"/>
                <w:bCs/>
                <w:color w:val="002060"/>
                <w:lang w:val="en-US"/>
              </w:rPr>
              <w:t>Soyad</w:t>
            </w:r>
            <w:proofErr w:type="spellEnd"/>
          </w:p>
          <w:p w:rsidR="00F1318A" w:rsidRPr="00F1318A" w:rsidRDefault="00A14248" w:rsidP="00A14248">
            <w:pPr>
              <w:pStyle w:val="AralkYok"/>
              <w:jc w:val="center"/>
              <w:rPr>
                <w:rFonts w:ascii="Cambria,Bold" w:hAnsi="Cambria,Bold" w:cs="Cambria,Bold"/>
                <w:bCs/>
                <w:color w:val="002060"/>
                <w:lang w:val="en-US"/>
              </w:rPr>
            </w:pPr>
            <w:r>
              <w:rPr>
                <w:rFonts w:ascii="Cambria,Bold" w:hAnsi="Cambria,Bold" w:cs="Cambria,Bold"/>
                <w:bCs/>
                <w:color w:val="002060"/>
              </w:rPr>
              <w:t>İmza</w:t>
            </w:r>
            <w:bookmarkStart w:id="0" w:name="_GoBack"/>
            <w:bookmarkEnd w:id="0"/>
          </w:p>
        </w:tc>
      </w:tr>
    </w:tbl>
    <w:p w:rsidR="00265CC0" w:rsidRPr="004E19AB" w:rsidRDefault="00265CC0" w:rsidP="00DB7CB2">
      <w:pPr>
        <w:pStyle w:val="AralkYok"/>
      </w:pPr>
    </w:p>
    <w:sectPr w:rsidR="00265CC0" w:rsidRPr="004E19AB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79" w:rsidRDefault="001A3579" w:rsidP="00534F7F">
      <w:r>
        <w:separator/>
      </w:r>
    </w:p>
  </w:endnote>
  <w:endnote w:type="continuationSeparator" w:id="0">
    <w:p w:rsidR="001A3579" w:rsidRDefault="001A3579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proofErr w:type="spellStart"/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  <w:proofErr w:type="spellEnd"/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Çemişgezek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sz w:val="16"/>
              <w:szCs w:val="16"/>
            </w:rPr>
            <w:t>Meslek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sz w:val="16"/>
              <w:szCs w:val="16"/>
            </w:rPr>
            <w:t>Yüksekokulu</w:t>
          </w:r>
          <w:proofErr w:type="spellEnd"/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>
            <w:rPr>
              <w:rFonts w:ascii="Cambria" w:hAnsi="Cambria"/>
              <w:sz w:val="16"/>
              <w:szCs w:val="16"/>
            </w:rPr>
            <w:t>Çemişgezek</w:t>
          </w:r>
          <w:proofErr w:type="spellEnd"/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proofErr w:type="spellStart"/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  <w:proofErr w:type="spellEnd"/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 xml:space="preserve">İnternet </w:t>
          </w:r>
          <w:proofErr w:type="spellStart"/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Adresi</w:t>
          </w:r>
          <w:proofErr w:type="spellEnd"/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proofErr w:type="spellStart"/>
          <w:r w:rsidRPr="00171789">
            <w:rPr>
              <w:rFonts w:ascii="Cambria" w:hAnsi="Cambria"/>
              <w:color w:val="002060"/>
              <w:sz w:val="16"/>
              <w:szCs w:val="16"/>
            </w:rPr>
            <w:t>Sayfa</w:t>
          </w:r>
          <w:proofErr w:type="spellEnd"/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1424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1424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79" w:rsidRDefault="001A3579" w:rsidP="00534F7F">
      <w:r>
        <w:separator/>
      </w:r>
    </w:p>
  </w:footnote>
  <w:footnote w:type="continuationSeparator" w:id="0">
    <w:p w:rsidR="001A3579" w:rsidRDefault="001A3579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val="tr-TR" w:eastAsia="tr-TR"/>
            </w:rPr>
            <w:drawing>
              <wp:inline distT="0" distB="0" distL="0" distR="0" wp14:anchorId="1A81B6DC" wp14:editId="7D50C918">
                <wp:extent cx="1583690" cy="527685"/>
                <wp:effectExtent l="0" t="0" r="0" b="5715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635" cy="52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F561A6" w:rsidRDefault="00F1318A" w:rsidP="00520A79">
          <w:pPr>
            <w:pStyle w:val="AralkYok"/>
            <w:jc w:val="center"/>
            <w:rPr>
              <w:rFonts w:ascii="Cambria" w:hAnsi="Cambria"/>
              <w:b/>
            </w:rPr>
          </w:pPr>
          <w:r w:rsidRPr="00F561A6">
            <w:rPr>
              <w:rFonts w:ascii="Cambria,Bold" w:hAnsi="Cambria,Bold" w:cs="Cambria,Bold"/>
              <w:b/>
              <w:bCs/>
              <w:color w:val="002060"/>
            </w:rPr>
            <w:t>GÖREV VE SORUML</w:t>
          </w:r>
          <w:r w:rsidRPr="00F561A6">
            <w:rPr>
              <w:rFonts w:ascii="Cambria,Bold" w:hAnsi="Cambria,Bold" w:cs="Cambria,Bold"/>
              <w:b/>
              <w:bCs/>
              <w:color w:val="002060"/>
              <w:spacing w:val="-2"/>
            </w:rPr>
            <w:t>U</w:t>
          </w:r>
          <w:r w:rsidRPr="00F561A6">
            <w:rPr>
              <w:rFonts w:ascii="Cambria,Bold" w:hAnsi="Cambria,Bold" w:cs="Cambria,Bold"/>
              <w:b/>
              <w:bCs/>
              <w:color w:val="002060"/>
            </w:rPr>
            <w:t>L</w:t>
          </w:r>
          <w:r w:rsidRPr="00F561A6">
            <w:rPr>
              <w:rFonts w:ascii="Cambria,Bold" w:hAnsi="Cambria,Bold" w:cs="Cambria,Bold"/>
              <w:b/>
              <w:bCs/>
              <w:color w:val="002060"/>
              <w:spacing w:val="-2"/>
            </w:rPr>
            <w:t>U</w:t>
          </w:r>
          <w:r w:rsidR="00520A79">
            <w:rPr>
              <w:rFonts w:ascii="Cambria,Bold" w:hAnsi="Cambria,Bold" w:cs="Cambria,Bold"/>
              <w:b/>
              <w:bCs/>
              <w:color w:val="002060"/>
            </w:rPr>
            <w:t xml:space="preserve">K </w:t>
          </w:r>
          <w:r w:rsidRPr="00F561A6">
            <w:rPr>
              <w:rFonts w:ascii="Cambria,Bold" w:hAnsi="Cambria,Bold" w:cs="Cambria,Bold"/>
              <w:b/>
              <w:bCs/>
              <w:color w:val="002060"/>
            </w:rPr>
            <w:t>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031B"/>
    <w:multiLevelType w:val="hybridMultilevel"/>
    <w:tmpl w:val="AFA6EA3A"/>
    <w:lvl w:ilvl="0" w:tplc="625CBA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C635B"/>
    <w:multiLevelType w:val="hybridMultilevel"/>
    <w:tmpl w:val="773CA9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30D42"/>
    <w:rsid w:val="00042748"/>
    <w:rsid w:val="00071C6A"/>
    <w:rsid w:val="000C3C22"/>
    <w:rsid w:val="000F4C30"/>
    <w:rsid w:val="00164950"/>
    <w:rsid w:val="0016547C"/>
    <w:rsid w:val="00172ADA"/>
    <w:rsid w:val="00174684"/>
    <w:rsid w:val="001842CA"/>
    <w:rsid w:val="001A3579"/>
    <w:rsid w:val="001D4FD2"/>
    <w:rsid w:val="001E049F"/>
    <w:rsid w:val="001E68C6"/>
    <w:rsid w:val="001F6791"/>
    <w:rsid w:val="00220D48"/>
    <w:rsid w:val="00236E1E"/>
    <w:rsid w:val="00240ED2"/>
    <w:rsid w:val="00265CC0"/>
    <w:rsid w:val="00273E41"/>
    <w:rsid w:val="002862B7"/>
    <w:rsid w:val="002B46D9"/>
    <w:rsid w:val="002B7259"/>
    <w:rsid w:val="002D32FF"/>
    <w:rsid w:val="002E1DB7"/>
    <w:rsid w:val="002E5E18"/>
    <w:rsid w:val="002E706A"/>
    <w:rsid w:val="002F306C"/>
    <w:rsid w:val="00302E9F"/>
    <w:rsid w:val="003230A8"/>
    <w:rsid w:val="003247C0"/>
    <w:rsid w:val="00337AC8"/>
    <w:rsid w:val="00345CED"/>
    <w:rsid w:val="00360500"/>
    <w:rsid w:val="003668F1"/>
    <w:rsid w:val="00380654"/>
    <w:rsid w:val="0039061E"/>
    <w:rsid w:val="00393BCE"/>
    <w:rsid w:val="003A3C7C"/>
    <w:rsid w:val="004023B0"/>
    <w:rsid w:val="00405A71"/>
    <w:rsid w:val="00465B2D"/>
    <w:rsid w:val="004939B7"/>
    <w:rsid w:val="004B3947"/>
    <w:rsid w:val="004C3752"/>
    <w:rsid w:val="004E19AB"/>
    <w:rsid w:val="004F27F3"/>
    <w:rsid w:val="00520A79"/>
    <w:rsid w:val="00523D1E"/>
    <w:rsid w:val="00534F7F"/>
    <w:rsid w:val="00537FFC"/>
    <w:rsid w:val="00551B24"/>
    <w:rsid w:val="00595B10"/>
    <w:rsid w:val="005B5AD0"/>
    <w:rsid w:val="005C5CC7"/>
    <w:rsid w:val="005C6111"/>
    <w:rsid w:val="005C713E"/>
    <w:rsid w:val="0060619A"/>
    <w:rsid w:val="0061636C"/>
    <w:rsid w:val="00635A92"/>
    <w:rsid w:val="0064705C"/>
    <w:rsid w:val="00665E77"/>
    <w:rsid w:val="006B6148"/>
    <w:rsid w:val="006C45BA"/>
    <w:rsid w:val="00715C4E"/>
    <w:rsid w:val="007338BD"/>
    <w:rsid w:val="0073606C"/>
    <w:rsid w:val="0075616C"/>
    <w:rsid w:val="00771C04"/>
    <w:rsid w:val="00786610"/>
    <w:rsid w:val="00793B2D"/>
    <w:rsid w:val="007A52FD"/>
    <w:rsid w:val="007D4382"/>
    <w:rsid w:val="007D54C2"/>
    <w:rsid w:val="008058B1"/>
    <w:rsid w:val="0082300A"/>
    <w:rsid w:val="008828AF"/>
    <w:rsid w:val="008B1091"/>
    <w:rsid w:val="008B1318"/>
    <w:rsid w:val="008D371C"/>
    <w:rsid w:val="0090123B"/>
    <w:rsid w:val="00961BE4"/>
    <w:rsid w:val="00985817"/>
    <w:rsid w:val="009A1A2C"/>
    <w:rsid w:val="009C39BA"/>
    <w:rsid w:val="009E1A0B"/>
    <w:rsid w:val="00A1175D"/>
    <w:rsid w:val="00A125A4"/>
    <w:rsid w:val="00A14248"/>
    <w:rsid w:val="00A16A0E"/>
    <w:rsid w:val="00A354CE"/>
    <w:rsid w:val="00A731D7"/>
    <w:rsid w:val="00B02129"/>
    <w:rsid w:val="00B06EC8"/>
    <w:rsid w:val="00B24DE9"/>
    <w:rsid w:val="00B24FE4"/>
    <w:rsid w:val="00B60470"/>
    <w:rsid w:val="00B61498"/>
    <w:rsid w:val="00B94075"/>
    <w:rsid w:val="00BC7571"/>
    <w:rsid w:val="00C305C2"/>
    <w:rsid w:val="00C55E8B"/>
    <w:rsid w:val="00D2128B"/>
    <w:rsid w:val="00D23714"/>
    <w:rsid w:val="00D71EEE"/>
    <w:rsid w:val="00DA4FCB"/>
    <w:rsid w:val="00DB4422"/>
    <w:rsid w:val="00DB58FE"/>
    <w:rsid w:val="00DB7CB2"/>
    <w:rsid w:val="00DD51A4"/>
    <w:rsid w:val="00E11B50"/>
    <w:rsid w:val="00E12BB9"/>
    <w:rsid w:val="00E1302D"/>
    <w:rsid w:val="00E15530"/>
    <w:rsid w:val="00E324DA"/>
    <w:rsid w:val="00E36113"/>
    <w:rsid w:val="00E445AD"/>
    <w:rsid w:val="00E5104D"/>
    <w:rsid w:val="00E87FEE"/>
    <w:rsid w:val="00EA29AB"/>
    <w:rsid w:val="00EC67DB"/>
    <w:rsid w:val="00EE3346"/>
    <w:rsid w:val="00F1318A"/>
    <w:rsid w:val="00F561A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6610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78661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130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302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6610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78661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130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302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çmyo</cp:lastModifiedBy>
  <cp:revision>12</cp:revision>
  <cp:lastPrinted>2024-01-31T11:54:00Z</cp:lastPrinted>
  <dcterms:created xsi:type="dcterms:W3CDTF">2023-09-01T07:49:00Z</dcterms:created>
  <dcterms:modified xsi:type="dcterms:W3CDTF">2024-03-04T06:21:00Z</dcterms:modified>
</cp:coreProperties>
</file>